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150B">
      <w:pPr>
        <w:snapToGrid w:val="0"/>
        <w:jc w:val="center"/>
        <w:rPr>
          <w:rFonts w:hint="default" w:eastAsiaTheme="minorEastAsia"/>
          <w:b/>
          <w:bCs/>
          <w:sz w:val="24"/>
          <w:szCs w:val="32"/>
          <w:lang w:val="en-US" w:eastAsia="zh-CN"/>
        </w:rPr>
      </w:pPr>
      <w:r>
        <w:rPr>
          <w:rFonts w:hint="eastAsia"/>
          <w:b/>
          <w:bCs/>
          <w:sz w:val="28"/>
          <w:szCs w:val="36"/>
        </w:rPr>
        <w:t>GB 28489-2022《乐器有害物质限量》</w:t>
      </w:r>
      <w:r>
        <w:rPr>
          <w:rFonts w:hint="eastAsia"/>
          <w:b/>
          <w:bCs/>
          <w:sz w:val="28"/>
          <w:szCs w:val="36"/>
          <w:lang w:val="en-US" w:eastAsia="zh-CN"/>
        </w:rPr>
        <w:t>取样规则及材料对应检测项目</w:t>
      </w:r>
    </w:p>
    <w:p w14:paraId="39E94B78">
      <w:pPr>
        <w:pStyle w:val="9"/>
        <w:numPr>
          <w:ilvl w:val="0"/>
          <w:numId w:val="1"/>
        </w:numPr>
        <w:spacing w:before="312" w:after="312"/>
        <w:ind w:left="0" w:firstLine="0"/>
        <w:rPr>
          <w:b/>
          <w:bCs/>
          <w:szCs w:val="21"/>
        </w:rPr>
      </w:pPr>
      <w:r>
        <w:rPr>
          <w:rFonts w:hint="eastAsia"/>
          <w:b/>
          <w:bCs/>
          <w:szCs w:val="21"/>
        </w:rPr>
        <w:t>总则</w:t>
      </w:r>
    </w:p>
    <w:p w14:paraId="460EFE59">
      <w:pPr>
        <w:pStyle w:val="10"/>
        <w:numPr>
          <w:ilvl w:val="1"/>
          <w:numId w:val="1"/>
        </w:numPr>
        <w:spacing w:before="156" w:after="156"/>
      </w:pPr>
      <w:r>
        <w:rPr>
          <w:rFonts w:hint="eastAsia"/>
        </w:rPr>
        <w:t xml:space="preserve"> 编制目的及意义</w:t>
      </w:r>
    </w:p>
    <w:p w14:paraId="6719233C">
      <w:pPr>
        <w:snapToGrid w:val="0"/>
        <w:ind w:firstLine="420" w:firstLineChars="200"/>
        <w:rPr>
          <w:rFonts w:ascii="Calibri" w:hAnsi="Calibri" w:eastAsia="宋体" w:cs="Times New Roman"/>
          <w:szCs w:val="21"/>
        </w:rPr>
      </w:pPr>
      <w:r>
        <w:rPr>
          <w:rFonts w:hint="eastAsia" w:ascii="Calibri" w:hAnsi="Calibri" w:eastAsia="宋体" w:cs="Times New Roman"/>
          <w:szCs w:val="21"/>
        </w:rPr>
        <w:t>GB 28489-2022《乐器有害物质限量》已于2022年12月29日发布，自2024年1月1日起实施。</w:t>
      </w:r>
      <w:r>
        <w:rPr>
          <w:rFonts w:ascii="Calibri" w:hAnsi="Calibri" w:eastAsia="宋体" w:cs="Times New Roman"/>
          <w:szCs w:val="21"/>
        </w:rPr>
        <w:t>本</w:t>
      </w:r>
      <w:r>
        <w:rPr>
          <w:rFonts w:hint="eastAsia" w:ascii="Calibri" w:hAnsi="Calibri" w:eastAsia="宋体" w:cs="Times New Roman"/>
          <w:szCs w:val="21"/>
          <w:lang w:eastAsia="zh-CN"/>
        </w:rPr>
        <w:t>文件</w:t>
      </w:r>
      <w:r>
        <w:rPr>
          <w:rFonts w:ascii="Calibri" w:hAnsi="Calibri" w:eastAsia="宋体" w:cs="Times New Roman"/>
          <w:szCs w:val="21"/>
        </w:rPr>
        <w:t>详细阐述</w:t>
      </w:r>
      <w:r>
        <w:rPr>
          <w:rFonts w:hint="eastAsia" w:ascii="Calibri" w:hAnsi="Calibri" w:eastAsia="宋体" w:cs="Times New Roman"/>
          <w:szCs w:val="21"/>
        </w:rPr>
        <w:t>并</w:t>
      </w:r>
      <w:r>
        <w:rPr>
          <w:rFonts w:ascii="Calibri" w:hAnsi="Calibri" w:eastAsia="宋体" w:cs="Times New Roman"/>
          <w:szCs w:val="21"/>
        </w:rPr>
        <w:t>规定</w:t>
      </w:r>
      <w:r>
        <w:rPr>
          <w:rFonts w:hint="eastAsia" w:ascii="Calibri" w:hAnsi="Calibri" w:eastAsia="宋体" w:cs="Times New Roman"/>
          <w:szCs w:val="21"/>
        </w:rPr>
        <w:t>了</w:t>
      </w:r>
      <w:r>
        <w:rPr>
          <w:rFonts w:ascii="Calibri" w:hAnsi="Calibri" w:eastAsia="宋体" w:cs="Times New Roman"/>
          <w:szCs w:val="21"/>
        </w:rPr>
        <w:t>乐器有害物质检测过程中的取样规则，</w:t>
      </w:r>
      <w:r>
        <w:rPr>
          <w:rFonts w:hint="eastAsia" w:ascii="Calibri" w:hAnsi="Calibri" w:eastAsia="宋体" w:cs="Times New Roman"/>
          <w:szCs w:val="21"/>
        </w:rPr>
        <w:t>确</w:t>
      </w:r>
      <w:r>
        <w:rPr>
          <w:rFonts w:ascii="Calibri" w:hAnsi="Calibri" w:eastAsia="宋体" w:cs="Times New Roman"/>
          <w:szCs w:val="21"/>
        </w:rPr>
        <w:t>保</w:t>
      </w:r>
      <w:r>
        <w:rPr>
          <w:rFonts w:hint="eastAsia" w:ascii="Calibri" w:hAnsi="Calibri" w:eastAsia="宋体" w:cs="Times New Roman"/>
          <w:szCs w:val="21"/>
        </w:rPr>
        <w:t>了</w:t>
      </w:r>
      <w:r>
        <w:rPr>
          <w:rFonts w:ascii="Calibri" w:hAnsi="Calibri" w:eastAsia="宋体" w:cs="Times New Roman"/>
          <w:szCs w:val="21"/>
        </w:rPr>
        <w:t>取样部位的</w:t>
      </w:r>
      <w:r>
        <w:rPr>
          <w:rFonts w:hint="eastAsia" w:ascii="Calibri" w:hAnsi="Calibri" w:eastAsia="宋体" w:cs="Times New Roman"/>
          <w:szCs w:val="21"/>
        </w:rPr>
        <w:t>代表性和</w:t>
      </w:r>
      <w:r>
        <w:rPr>
          <w:rFonts w:ascii="Calibri" w:hAnsi="Calibri" w:eastAsia="宋体" w:cs="Times New Roman"/>
          <w:szCs w:val="21"/>
        </w:rPr>
        <w:t>准确性，</w:t>
      </w:r>
      <w:r>
        <w:rPr>
          <w:rFonts w:hint="eastAsia" w:ascii="Calibri" w:hAnsi="Calibri" w:eastAsia="宋体" w:cs="Times New Roman"/>
          <w:szCs w:val="21"/>
        </w:rPr>
        <w:t>保证了检测流程规范化，</w:t>
      </w:r>
      <w:r>
        <w:rPr>
          <w:rFonts w:ascii="Calibri" w:hAnsi="Calibri" w:eastAsia="宋体" w:cs="Times New Roman"/>
          <w:szCs w:val="21"/>
        </w:rPr>
        <w:t>有效评估</w:t>
      </w:r>
      <w:r>
        <w:rPr>
          <w:rFonts w:hint="eastAsia" w:ascii="Calibri" w:hAnsi="Calibri" w:eastAsia="宋体" w:cs="Times New Roman"/>
          <w:szCs w:val="21"/>
        </w:rPr>
        <w:t>了</w:t>
      </w:r>
      <w:r>
        <w:rPr>
          <w:rFonts w:ascii="Calibri" w:hAnsi="Calibri" w:eastAsia="宋体" w:cs="Times New Roman"/>
          <w:szCs w:val="21"/>
        </w:rPr>
        <w:t>乐器</w:t>
      </w:r>
      <w:r>
        <w:rPr>
          <w:rFonts w:hint="eastAsia" w:ascii="Calibri" w:hAnsi="Calibri" w:eastAsia="宋体" w:cs="Times New Roman"/>
          <w:szCs w:val="21"/>
        </w:rPr>
        <w:t>环保安全性能，保障了消费者健康权益。</w:t>
      </w:r>
    </w:p>
    <w:p w14:paraId="4D9CC4BA">
      <w:pPr>
        <w:pStyle w:val="10"/>
        <w:spacing w:before="156" w:after="156"/>
      </w:pPr>
      <w:r>
        <w:rPr>
          <w:rFonts w:hint="eastAsia"/>
        </w:rPr>
        <w:t>1.2  编制依据</w:t>
      </w:r>
    </w:p>
    <w:p w14:paraId="58D28424">
      <w:pPr>
        <w:snapToGrid w:val="0"/>
        <w:ind w:firstLine="420" w:firstLineChars="200"/>
        <w:rPr>
          <w:rFonts w:ascii="Calibri" w:hAnsi="Calibri" w:eastAsia="宋体" w:cs="Times New Roman"/>
          <w:szCs w:val="21"/>
        </w:rPr>
      </w:pPr>
      <w:r>
        <w:rPr>
          <w:rFonts w:hint="eastAsia" w:ascii="Calibri" w:hAnsi="Calibri" w:eastAsia="宋体" w:cs="Times New Roman"/>
          <w:szCs w:val="21"/>
        </w:rPr>
        <w:t>GB 28489-2022《乐器有害物质限量》。</w:t>
      </w:r>
    </w:p>
    <w:p w14:paraId="49F9EBA5">
      <w:pPr>
        <w:pStyle w:val="9"/>
        <w:numPr>
          <w:ilvl w:val="0"/>
          <w:numId w:val="1"/>
        </w:numPr>
        <w:spacing w:before="312" w:after="312"/>
        <w:ind w:left="0" w:firstLine="0"/>
        <w:rPr>
          <w:b/>
          <w:bCs/>
          <w:szCs w:val="21"/>
        </w:rPr>
      </w:pPr>
      <w:r>
        <w:rPr>
          <w:rFonts w:hint="eastAsia"/>
          <w:b/>
          <w:bCs/>
          <w:szCs w:val="21"/>
        </w:rPr>
        <w:t>适用范围</w:t>
      </w:r>
    </w:p>
    <w:p w14:paraId="44324F49">
      <w:pPr>
        <w:snapToGrid w:val="0"/>
        <w:ind w:firstLine="420" w:firstLineChars="200"/>
        <w:rPr>
          <w:rFonts w:hint="eastAsia" w:ascii="Calibri" w:hAnsi="Calibri" w:eastAsia="宋体" w:cs="Times New Roman"/>
          <w:szCs w:val="21"/>
        </w:rPr>
      </w:pPr>
      <w:r>
        <w:rPr>
          <w:rFonts w:hint="eastAsia" w:ascii="Calibri" w:hAnsi="Calibri" w:eastAsia="宋体" w:cs="Times New Roman"/>
          <w:szCs w:val="21"/>
        </w:rPr>
        <w:t>本</w:t>
      </w:r>
      <w:r>
        <w:rPr>
          <w:rFonts w:hint="eastAsia" w:ascii="Calibri" w:hAnsi="Calibri" w:eastAsia="宋体" w:cs="Times New Roman"/>
          <w:szCs w:val="21"/>
          <w:lang w:eastAsia="zh-CN"/>
        </w:rPr>
        <w:t>文件</w:t>
      </w:r>
      <w:r>
        <w:rPr>
          <w:rFonts w:hint="eastAsia" w:ascii="Calibri" w:hAnsi="Calibri" w:eastAsia="宋体" w:cs="Times New Roman"/>
          <w:szCs w:val="21"/>
        </w:rPr>
        <w:t>适用于GB 28489-2022《乐器有害物质限量》的检验检测，与此相关联的取得CMA、CNAS资质和能力授权的，具体承担检验检测活动的机构、参与检验检测的企业及实验室，应参考本</w:t>
      </w:r>
      <w:r>
        <w:rPr>
          <w:rFonts w:hint="eastAsia" w:ascii="Calibri" w:hAnsi="Calibri" w:eastAsia="宋体" w:cs="Times New Roman"/>
          <w:szCs w:val="21"/>
          <w:lang w:eastAsia="zh-CN"/>
        </w:rPr>
        <w:t>文件</w:t>
      </w:r>
      <w:r>
        <w:rPr>
          <w:rFonts w:hint="eastAsia" w:ascii="Calibri" w:hAnsi="Calibri" w:eastAsia="宋体" w:cs="Times New Roman"/>
          <w:szCs w:val="21"/>
        </w:rPr>
        <w:t>的规定。</w:t>
      </w:r>
    </w:p>
    <w:p w14:paraId="473695F5">
      <w:pPr>
        <w:pStyle w:val="9"/>
        <w:numPr>
          <w:ilvl w:val="0"/>
          <w:numId w:val="1"/>
        </w:numPr>
        <w:spacing w:before="312" w:after="312"/>
        <w:ind w:left="0" w:firstLine="0"/>
        <w:rPr>
          <w:b/>
          <w:bCs/>
          <w:szCs w:val="21"/>
        </w:rPr>
      </w:pPr>
      <w:r>
        <w:rPr>
          <w:rFonts w:hint="eastAsia"/>
          <w:b/>
          <w:bCs/>
          <w:szCs w:val="21"/>
        </w:rPr>
        <w:t>样品取样规则</w:t>
      </w:r>
    </w:p>
    <w:p w14:paraId="5B8DBBA4">
      <w:pPr>
        <w:pStyle w:val="11"/>
        <w:numPr>
          <w:ilvl w:val="1"/>
          <w:numId w:val="1"/>
        </w:numPr>
      </w:pPr>
      <w:r>
        <w:rPr>
          <w:rFonts w:hint="eastAsia"/>
        </w:rPr>
        <w:t xml:space="preserve"> </w:t>
      </w:r>
      <w:r>
        <w:t>除挥发性有害物质</w:t>
      </w:r>
      <w:r>
        <w:rPr>
          <w:rFonts w:hint="eastAsia"/>
        </w:rPr>
        <w:t>及</w:t>
      </w:r>
      <w:r>
        <w:t>电子部件限用物质项目外，所有测试项目应从单一乐器、乐器配件以及置于室内的乐器包装物样品上</w:t>
      </w:r>
      <w:r>
        <w:rPr>
          <w:rFonts w:hint="eastAsia"/>
        </w:rPr>
        <w:t>，在正常使用</w:t>
      </w:r>
      <w:r>
        <w:rPr>
          <w:rFonts w:hint="eastAsia"/>
          <w:vertAlign w:val="superscript"/>
          <w:lang w:val="en-US" w:eastAsia="zh-CN"/>
        </w:rPr>
        <w:t>①③</w:t>
      </w:r>
      <w:r>
        <w:rPr>
          <w:rFonts w:hint="eastAsia"/>
        </w:rPr>
        <w:t>情况下直接接触口腔或人体可触及部分</w:t>
      </w:r>
      <w:r>
        <w:rPr>
          <w:rFonts w:hint="eastAsia"/>
          <w:vertAlign w:val="superscript"/>
          <w:lang w:val="en-US" w:eastAsia="zh-CN"/>
        </w:rPr>
        <w:t>②④</w:t>
      </w:r>
      <w:r>
        <w:t>进行取样。</w:t>
      </w:r>
      <w:r>
        <w:rPr>
          <w:rFonts w:hint="eastAsia"/>
        </w:rPr>
        <w:t>非正常使用情况接触和偶然接触部位均不属于取样范围。同种材料可以结合起来作为同一个测试试样，但不应同时采用其它乐器、乐器配件及置于室内的乐器包装物样品的材料。在能采用物理方式进行有效分离时，测试样品的材料不应含一种以上材料。</w:t>
      </w:r>
    </w:p>
    <w:p w14:paraId="665B4D12">
      <w:pPr>
        <w:pStyle w:val="14"/>
        <w:ind w:left="0" w:leftChars="0" w:firstLine="199" w:firstLineChars="111"/>
      </w:pPr>
      <w:r>
        <w:rPr>
          <w:rFonts w:hint="eastAsia"/>
        </w:rPr>
        <w:t>注1</w:t>
      </w:r>
      <w:r>
        <w:rPr>
          <w:rFonts w:hint="eastAsia"/>
          <w:szCs w:val="21"/>
        </w:rPr>
        <w:t>：</w:t>
      </w:r>
      <w:r>
        <w:rPr>
          <w:rFonts w:hint="eastAsia"/>
        </w:rPr>
        <w:t>对于乐器、乐器配件，正常使用的定义：是指演奏（包括练习、培训等）人员在开始演奏乐曲之前到演奏完毕之后的整个时间段内，对乐器进行的常规操作和处理。包含演奏者在演奏前为保证乐器处于最佳状态的乐器调整工作。不包含任何可能导致乐器受损或超越正常使用范围的极端操作方法。</w:t>
      </w:r>
    </w:p>
    <w:p w14:paraId="0F34D54B">
      <w:pPr>
        <w:pStyle w:val="14"/>
        <w:numPr>
          <w:ilvl w:val="255"/>
          <w:numId w:val="0"/>
        </w:numPr>
        <w:ind w:firstLine="200"/>
      </w:pPr>
      <w:r>
        <w:rPr>
          <w:rFonts w:hint="eastAsia"/>
        </w:rPr>
        <w:t>注</w:t>
      </w:r>
      <w:r>
        <w:t>2</w:t>
      </w:r>
      <w:r>
        <w:rPr>
          <w:rFonts w:hint="eastAsia"/>
        </w:rPr>
        <w:t>：对于乐器、乐器配件，人体可触及部位的定义：正常使用情况下非偶然触及的部位。</w:t>
      </w:r>
    </w:p>
    <w:p w14:paraId="560AE813">
      <w:pPr>
        <w:pStyle w:val="14"/>
        <w:numPr>
          <w:ilvl w:val="255"/>
          <w:numId w:val="0"/>
        </w:numPr>
        <w:ind w:firstLine="200"/>
      </w:pPr>
      <w:r>
        <w:rPr>
          <w:rFonts w:hint="eastAsia"/>
        </w:rPr>
        <w:t>示例：扬琴、筝等乐器，因音准稳定性相对较不稳定，通常每次演奏前都需要进行调试，且调整者为演奏员自身，此类调整活动视为正常使用情况；而对于类似钢琴的乐器，每年只进行1次～2次调整，且调整者非演奏人员，一般为专业调律师，此类调整活动不视为正常使用情况。</w:t>
      </w:r>
    </w:p>
    <w:p w14:paraId="2CEA272C">
      <w:pPr>
        <w:pStyle w:val="14"/>
        <w:numPr>
          <w:ilvl w:val="255"/>
          <w:numId w:val="0"/>
        </w:numPr>
        <w:ind w:firstLine="200"/>
      </w:pPr>
      <w:r>
        <w:rPr>
          <w:rFonts w:hint="eastAsia"/>
        </w:rPr>
        <w:t>注</w:t>
      </w:r>
      <w:r>
        <w:t>3</w:t>
      </w:r>
      <w:r>
        <w:rPr>
          <w:rFonts w:hint="eastAsia"/>
        </w:rPr>
        <w:t>：对于置于室内的包装物，正常使用的定义：是指在演奏前后需要拿出乐器、收纳乐器以及需要携带乐器的状况。</w:t>
      </w:r>
    </w:p>
    <w:p w14:paraId="31449C03">
      <w:pPr>
        <w:pStyle w:val="14"/>
        <w:numPr>
          <w:ilvl w:val="255"/>
          <w:numId w:val="0"/>
        </w:numPr>
        <w:ind w:firstLine="200"/>
      </w:pPr>
      <w:r>
        <w:rPr>
          <w:rFonts w:hint="eastAsia"/>
        </w:rPr>
        <w:t>注</w:t>
      </w:r>
      <w:r>
        <w:t>4</w:t>
      </w:r>
      <w:r>
        <w:rPr>
          <w:rFonts w:hint="eastAsia"/>
        </w:rPr>
        <w:t>：对于置于室内的包装物，人体可触及部位的定义：携带时非偶然接触的部位。</w:t>
      </w:r>
    </w:p>
    <w:p w14:paraId="0C2D1310">
      <w:pPr>
        <w:pStyle w:val="14"/>
        <w:numPr>
          <w:ilvl w:val="255"/>
          <w:numId w:val="0"/>
        </w:numPr>
        <w:ind w:firstLine="200"/>
      </w:pPr>
      <w:r>
        <w:rPr>
          <w:rFonts w:hint="eastAsia"/>
        </w:rPr>
        <w:t>示例：包装物的非偶然接触部位一般为外表面、拉锁、粘扣、背带及提手部分。</w:t>
      </w:r>
    </w:p>
    <w:p w14:paraId="307B6546">
      <w:pPr>
        <w:pStyle w:val="11"/>
        <w:numPr>
          <w:ilvl w:val="1"/>
          <w:numId w:val="1"/>
        </w:numPr>
      </w:pPr>
      <w:r>
        <w:rPr>
          <w:rFonts w:hint="eastAsia"/>
        </w:rPr>
        <w:t xml:space="preserve"> 若同一个乐器多个检测部件均为相同材料，由生产厂提供承诺后，可只对其中一个部件取样。</w:t>
      </w:r>
    </w:p>
    <w:p w14:paraId="2DA8BE69">
      <w:pPr>
        <w:pStyle w:val="11"/>
        <w:numPr>
          <w:ilvl w:val="1"/>
          <w:numId w:val="1"/>
        </w:numPr>
      </w:pPr>
      <w:r>
        <w:rPr>
          <w:rFonts w:hint="eastAsia"/>
        </w:rPr>
        <w:t xml:space="preserve"> 测试试样可采用由生产厂提供替代测试样品上的材料及其所附着的基体材料，生产厂应同时提供材料及生产工艺与样品上测试部位材料的一致性承诺。</w:t>
      </w:r>
    </w:p>
    <w:p w14:paraId="72495FC9">
      <w:pPr>
        <w:pStyle w:val="11"/>
        <w:numPr>
          <w:ilvl w:val="1"/>
          <w:numId w:val="1"/>
        </w:numPr>
      </w:pPr>
      <w:r>
        <w:rPr>
          <w:rFonts w:hint="eastAsia"/>
        </w:rPr>
        <w:t xml:space="preserve"> 当从</w:t>
      </w:r>
      <w:r>
        <w:t>单一乐器、乐器配件以及置于室内的乐器包装物样品</w:t>
      </w:r>
      <w:r>
        <w:rPr>
          <w:rFonts w:hint="eastAsia"/>
        </w:rPr>
        <w:t>中单一材料的取样量小于10mg时，可不进行邻苯二甲酸酯和可迁移元素项目的测试。</w:t>
      </w:r>
    </w:p>
    <w:p w14:paraId="14998285">
      <w:pPr>
        <w:pStyle w:val="11"/>
        <w:numPr>
          <w:ilvl w:val="1"/>
          <w:numId w:val="1"/>
        </w:numPr>
      </w:pPr>
      <w:r>
        <w:rPr>
          <w:rFonts w:hint="eastAsia"/>
        </w:rPr>
        <w:t xml:space="preserve"> 未使用木材、纺织物、黏合剂、涂料材料或使用了上述材料且外轮廓不同部位体积相加的总和≤0.003m</w:t>
      </w:r>
      <w:r>
        <w:rPr>
          <w:rFonts w:hint="eastAsia"/>
          <w:vertAlign w:val="superscript"/>
        </w:rPr>
        <w:t>3</w:t>
      </w:r>
      <w:r>
        <w:rPr>
          <w:rFonts w:hint="eastAsia"/>
        </w:rPr>
        <w:t>的乐器、乐器配件及置于室内的乐器包装物可不进行苯系物、总挥发有机化合物及甲醛项目的测试。</w:t>
      </w:r>
    </w:p>
    <w:p w14:paraId="3B2E71E3">
      <w:pPr>
        <w:pStyle w:val="11"/>
        <w:numPr>
          <w:ilvl w:val="1"/>
          <w:numId w:val="1"/>
        </w:numPr>
      </w:pPr>
      <w:r>
        <w:rPr>
          <w:rFonts w:hint="eastAsia"/>
        </w:rPr>
        <w:t xml:space="preserve"> 当测试试样的材料质量小于200mg时，可不进行纺织物中芳香胺染料项目的测试。未经印染加工的纺织物和皮革不进行芳香胺染料测试。</w:t>
      </w:r>
    </w:p>
    <w:p w14:paraId="04649774">
      <w:pPr>
        <w:pStyle w:val="11"/>
        <w:numPr>
          <w:ilvl w:val="1"/>
          <w:numId w:val="1"/>
        </w:numPr>
      </w:pPr>
      <w:r>
        <w:rPr>
          <w:rFonts w:hint="eastAsia"/>
        </w:rPr>
        <w:t xml:space="preserve"> 当乐器表面有涂覆层时，只对其可接触的涂覆层进行检测。</w:t>
      </w:r>
    </w:p>
    <w:p w14:paraId="0A993E16">
      <w:pPr>
        <w:pStyle w:val="11"/>
        <w:numPr>
          <w:ilvl w:val="1"/>
          <w:numId w:val="1"/>
        </w:numPr>
        <w:rPr>
          <w:rFonts w:hint="eastAsia"/>
        </w:rPr>
      </w:pPr>
      <w:r>
        <w:rPr>
          <w:rFonts w:hint="eastAsia"/>
        </w:rPr>
        <w:t xml:space="preserve"> </w:t>
      </w:r>
      <w:r>
        <w:t>在对同一试样</w:t>
      </w:r>
      <w:r>
        <w:rPr>
          <w:rFonts w:hint="eastAsia"/>
        </w:rPr>
        <w:t>进行</w:t>
      </w:r>
      <w:r>
        <w:t>挥发性有害物质检测项目与其他破坏性检测项目时，应优先进行挥发性有害物质检测项目。</w:t>
      </w:r>
    </w:p>
    <w:p w14:paraId="5C691A55">
      <w:pPr>
        <w:pStyle w:val="9"/>
        <w:numPr>
          <w:ilvl w:val="0"/>
          <w:numId w:val="1"/>
        </w:numPr>
        <w:spacing w:before="312" w:after="312"/>
        <w:ind w:left="0" w:firstLine="0"/>
        <w:rPr>
          <w:b/>
          <w:bCs/>
          <w:szCs w:val="21"/>
        </w:rPr>
      </w:pPr>
      <w:r>
        <w:rPr>
          <w:rFonts w:hint="eastAsia"/>
          <w:b/>
          <w:bCs/>
          <w:szCs w:val="21"/>
        </w:rPr>
        <w:t>取样部位材料对应的检测项目</w:t>
      </w:r>
    </w:p>
    <w:p w14:paraId="259BA8BA">
      <w:pPr>
        <w:widowControl/>
        <w:snapToGrid w:val="0"/>
        <w:jc w:val="left"/>
        <w:rPr>
          <w:rFonts w:ascii="Calibri" w:hAnsi="Calibri" w:eastAsia="宋体" w:cs="Times New Roman"/>
          <w:szCs w:val="21"/>
        </w:rPr>
      </w:pPr>
      <w:r>
        <w:rPr>
          <w:rFonts w:hint="eastAsia" w:ascii="Calibri" w:hAnsi="Calibri" w:eastAsia="宋体" w:cs="Times New Roman"/>
          <w:szCs w:val="21"/>
        </w:rPr>
        <w:t xml:space="preserve">     应按样品取样部位材料的不同选择检测项目，</w:t>
      </w:r>
      <w:r>
        <w:rPr>
          <w:rFonts w:ascii="Calibri" w:hAnsi="Calibri" w:eastAsia="宋体" w:cs="Times New Roman"/>
          <w:szCs w:val="21"/>
        </w:rPr>
        <w:t>以下为需检测的参考项目及所对应的材料（包含但不限于）类别：</w:t>
      </w:r>
    </w:p>
    <w:p w14:paraId="486BFBEC">
      <w:pPr>
        <w:pStyle w:val="10"/>
        <w:numPr>
          <w:ilvl w:val="1"/>
          <w:numId w:val="1"/>
        </w:numPr>
        <w:spacing w:before="156" w:after="156"/>
      </w:pPr>
      <w:r>
        <w:rPr>
          <w:rFonts w:hint="eastAsia"/>
        </w:rPr>
        <w:t>邻苯二甲酸酯类</w:t>
      </w:r>
    </w:p>
    <w:p w14:paraId="5357BAF4">
      <w:pPr>
        <w:pStyle w:val="13"/>
        <w:spacing w:before="156" w:after="156"/>
        <w:rPr>
          <w:rFonts w:hint="eastAsia"/>
        </w:rPr>
      </w:pPr>
      <w:r>
        <w:rPr>
          <w:rFonts w:hint="eastAsia"/>
        </w:rPr>
        <w:t>表1</w:t>
      </w:r>
    </w:p>
    <w:tbl>
      <w:tblPr>
        <w:tblStyle w:val="5"/>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240"/>
      </w:tblGrid>
      <w:tr w14:paraId="20C5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45CD6B4">
            <w:pPr>
              <w:snapToGrid w:val="0"/>
              <w:jc w:val="center"/>
              <w:rPr>
                <w:rFonts w:ascii="宋体" w:hAnsi="宋体" w:eastAsia="宋体" w:cs="Times New Roman"/>
                <w:bCs/>
                <w:kern w:val="0"/>
                <w:sz w:val="21"/>
                <w:szCs w:val="21"/>
              </w:rPr>
            </w:pPr>
            <w:r>
              <w:rPr>
                <w:rFonts w:hint="eastAsia" w:ascii="宋体" w:hAnsi="宋体" w:eastAsia="宋体" w:cs="Times New Roman"/>
                <w:bCs/>
                <w:kern w:val="0"/>
                <w:sz w:val="21"/>
                <w:szCs w:val="21"/>
              </w:rPr>
              <w:t>序号</w:t>
            </w:r>
          </w:p>
        </w:tc>
        <w:tc>
          <w:tcPr>
            <w:tcW w:w="6240" w:type="dxa"/>
            <w:vAlign w:val="center"/>
          </w:tcPr>
          <w:p w14:paraId="59DAA192">
            <w:pPr>
              <w:snapToGrid w:val="0"/>
              <w:jc w:val="center"/>
              <w:rPr>
                <w:rFonts w:ascii="宋体" w:hAnsi="宋体" w:eastAsia="宋体" w:cs="Times New Roman"/>
                <w:bCs/>
                <w:kern w:val="0"/>
                <w:sz w:val="21"/>
                <w:szCs w:val="21"/>
              </w:rPr>
            </w:pPr>
            <w:r>
              <w:rPr>
                <w:rFonts w:hint="eastAsia" w:ascii="宋体" w:hAnsi="宋体" w:eastAsia="宋体" w:cs="Times New Roman"/>
                <w:bCs/>
                <w:kern w:val="0"/>
                <w:sz w:val="21"/>
                <w:szCs w:val="21"/>
              </w:rPr>
              <w:t>部件材料</w:t>
            </w:r>
          </w:p>
        </w:tc>
      </w:tr>
      <w:tr w14:paraId="5B4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6AE0754C">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c>
          <w:tcPr>
            <w:tcW w:w="6240" w:type="dxa"/>
            <w:vAlign w:val="center"/>
          </w:tcPr>
          <w:p w14:paraId="6D608318">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塑料、</w:t>
            </w:r>
            <w:r>
              <w:rPr>
                <w:rFonts w:ascii="宋体" w:hAnsi="宋体" w:eastAsia="宋体" w:cs="Times New Roman"/>
                <w:kern w:val="0"/>
                <w:sz w:val="21"/>
                <w:szCs w:val="21"/>
              </w:rPr>
              <w:t>人造皮革、合成橡胶</w:t>
            </w:r>
            <w:r>
              <w:rPr>
                <w:rFonts w:hint="eastAsia" w:ascii="宋体" w:hAnsi="宋体" w:eastAsia="宋体" w:cs="Times New Roman"/>
                <w:kern w:val="0"/>
                <w:sz w:val="21"/>
                <w:szCs w:val="21"/>
              </w:rPr>
              <w:t>、碳纤维</w:t>
            </w:r>
          </w:p>
        </w:tc>
      </w:tr>
    </w:tbl>
    <w:p w14:paraId="3DDC2628">
      <w:pPr>
        <w:pStyle w:val="10"/>
        <w:numPr>
          <w:ilvl w:val="1"/>
          <w:numId w:val="1"/>
        </w:numPr>
        <w:spacing w:before="156" w:after="156"/>
      </w:pPr>
      <w:r>
        <w:rPr>
          <w:rFonts w:hint="eastAsia"/>
        </w:rPr>
        <w:t>多环芳烃类</w:t>
      </w:r>
    </w:p>
    <w:p w14:paraId="28B8F9F0">
      <w:pPr>
        <w:pStyle w:val="13"/>
        <w:spacing w:before="156" w:after="156"/>
        <w:rPr>
          <w:rFonts w:hint="eastAsia"/>
        </w:rPr>
      </w:pPr>
      <w:r>
        <w:rPr>
          <w:rFonts w:hint="eastAsia"/>
        </w:rPr>
        <w:t>表</w:t>
      </w:r>
      <w:r>
        <w:t>2</w:t>
      </w:r>
    </w:p>
    <w:tbl>
      <w:tblPr>
        <w:tblStyle w:val="5"/>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225"/>
      </w:tblGrid>
      <w:tr w14:paraId="6E88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1778BC4E">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序号</w:t>
            </w:r>
          </w:p>
        </w:tc>
        <w:tc>
          <w:tcPr>
            <w:tcW w:w="6225" w:type="dxa"/>
            <w:vAlign w:val="center"/>
          </w:tcPr>
          <w:p w14:paraId="55AD0D16">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部件材料</w:t>
            </w:r>
          </w:p>
        </w:tc>
      </w:tr>
      <w:tr w14:paraId="3104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2A537107">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6225" w:type="dxa"/>
            <w:vAlign w:val="center"/>
          </w:tcPr>
          <w:p w14:paraId="147683D1">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合成板材</w:t>
            </w:r>
          </w:p>
        </w:tc>
      </w:tr>
      <w:tr w14:paraId="2DEE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270BD820">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6225" w:type="dxa"/>
            <w:vAlign w:val="center"/>
          </w:tcPr>
          <w:p w14:paraId="1A0B05FE">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油漆</w:t>
            </w:r>
          </w:p>
        </w:tc>
      </w:tr>
      <w:tr w14:paraId="4E44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056C71C1">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6225" w:type="dxa"/>
            <w:vAlign w:val="center"/>
          </w:tcPr>
          <w:p w14:paraId="24E7901D">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纺织品</w:t>
            </w:r>
          </w:p>
        </w:tc>
      </w:tr>
      <w:tr w14:paraId="7B51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2029459A">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6225" w:type="dxa"/>
            <w:vAlign w:val="center"/>
          </w:tcPr>
          <w:p w14:paraId="05711B78">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塑料</w:t>
            </w:r>
          </w:p>
        </w:tc>
      </w:tr>
      <w:tr w14:paraId="00A4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0079A9F9">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6225" w:type="dxa"/>
            <w:vAlign w:val="center"/>
          </w:tcPr>
          <w:p w14:paraId="62D65936">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橡胶</w:t>
            </w:r>
          </w:p>
        </w:tc>
      </w:tr>
      <w:tr w14:paraId="1228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5FF694F">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6225" w:type="dxa"/>
            <w:vAlign w:val="center"/>
          </w:tcPr>
          <w:p w14:paraId="1D61B6B6">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皮革</w:t>
            </w:r>
          </w:p>
        </w:tc>
      </w:tr>
      <w:tr w14:paraId="65E9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5303A144">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w:t>
            </w:r>
          </w:p>
        </w:tc>
        <w:tc>
          <w:tcPr>
            <w:tcW w:w="6225" w:type="dxa"/>
            <w:vAlign w:val="center"/>
          </w:tcPr>
          <w:p w14:paraId="610131A9">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电子元器件</w:t>
            </w:r>
          </w:p>
        </w:tc>
      </w:tr>
    </w:tbl>
    <w:p w14:paraId="71D103FA">
      <w:pPr>
        <w:pStyle w:val="10"/>
        <w:numPr>
          <w:ilvl w:val="1"/>
          <w:numId w:val="1"/>
        </w:numPr>
        <w:spacing w:before="156" w:after="156"/>
      </w:pPr>
      <w:r>
        <w:rPr>
          <w:rFonts w:hint="eastAsia"/>
        </w:rPr>
        <w:t>可迁移元素</w:t>
      </w:r>
    </w:p>
    <w:p w14:paraId="575E8759">
      <w:pPr>
        <w:pStyle w:val="13"/>
        <w:spacing w:before="156" w:after="156"/>
        <w:rPr>
          <w:rFonts w:hint="eastAsia"/>
        </w:rPr>
      </w:pPr>
      <w:r>
        <w:rPr>
          <w:rFonts w:hint="eastAsia"/>
        </w:rPr>
        <w:t>表</w:t>
      </w:r>
      <w:r>
        <w:t>3</w:t>
      </w:r>
    </w:p>
    <w:tbl>
      <w:tblPr>
        <w:tblStyle w:val="5"/>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225"/>
      </w:tblGrid>
      <w:tr w14:paraId="0777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504314CE">
            <w:pPr>
              <w:snapToGrid w:val="0"/>
              <w:jc w:val="center"/>
              <w:rPr>
                <w:rFonts w:ascii="宋体" w:hAnsi="宋体" w:eastAsia="宋体" w:cs="Times New Roman"/>
                <w:bCs/>
                <w:kern w:val="0"/>
                <w:sz w:val="21"/>
                <w:szCs w:val="21"/>
              </w:rPr>
            </w:pPr>
            <w:r>
              <w:rPr>
                <w:rFonts w:hint="eastAsia" w:ascii="宋体" w:hAnsi="宋体" w:eastAsia="宋体" w:cs="Times New Roman"/>
                <w:bCs/>
                <w:kern w:val="0"/>
                <w:sz w:val="21"/>
                <w:szCs w:val="21"/>
              </w:rPr>
              <w:t>序号</w:t>
            </w:r>
          </w:p>
        </w:tc>
        <w:tc>
          <w:tcPr>
            <w:tcW w:w="6225" w:type="dxa"/>
            <w:vAlign w:val="center"/>
          </w:tcPr>
          <w:p w14:paraId="3D03240C">
            <w:pPr>
              <w:snapToGrid w:val="0"/>
              <w:jc w:val="center"/>
              <w:rPr>
                <w:rFonts w:ascii="宋体" w:hAnsi="宋体" w:eastAsia="宋体" w:cs="Times New Roman"/>
                <w:bCs/>
                <w:kern w:val="0"/>
                <w:sz w:val="21"/>
                <w:szCs w:val="21"/>
              </w:rPr>
            </w:pPr>
            <w:r>
              <w:rPr>
                <w:rFonts w:hint="eastAsia" w:ascii="宋体" w:hAnsi="宋体" w:eastAsia="宋体" w:cs="Times New Roman"/>
                <w:bCs/>
                <w:kern w:val="0"/>
                <w:sz w:val="21"/>
                <w:szCs w:val="21"/>
              </w:rPr>
              <w:t>部件材料</w:t>
            </w:r>
          </w:p>
        </w:tc>
      </w:tr>
      <w:tr w14:paraId="64E7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134DEE54">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c>
          <w:tcPr>
            <w:tcW w:w="6225" w:type="dxa"/>
            <w:vAlign w:val="center"/>
          </w:tcPr>
          <w:p w14:paraId="6F9FAFDB">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纸或纸板</w:t>
            </w:r>
          </w:p>
        </w:tc>
      </w:tr>
      <w:tr w14:paraId="3EB6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2A1CC6F4">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c>
          <w:tcPr>
            <w:tcW w:w="6225" w:type="dxa"/>
            <w:vAlign w:val="center"/>
          </w:tcPr>
          <w:p w14:paraId="07DC184B">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塑料涂覆的纸或纸板</w:t>
            </w:r>
          </w:p>
        </w:tc>
      </w:tr>
      <w:tr w14:paraId="5FAC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106C104E">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3</w:t>
            </w:r>
          </w:p>
        </w:tc>
        <w:tc>
          <w:tcPr>
            <w:tcW w:w="6225" w:type="dxa"/>
            <w:vAlign w:val="center"/>
          </w:tcPr>
          <w:p w14:paraId="0A510814">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可移取的涂层</w:t>
            </w:r>
          </w:p>
        </w:tc>
      </w:tr>
      <w:tr w14:paraId="2579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B5B9E96">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c>
          <w:tcPr>
            <w:tcW w:w="6225" w:type="dxa"/>
            <w:vAlign w:val="center"/>
          </w:tcPr>
          <w:p w14:paraId="7CAE885E">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非纺织物的聚合物材料，例如人造皮革、塑料</w:t>
            </w:r>
          </w:p>
        </w:tc>
      </w:tr>
      <w:tr w14:paraId="21BE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8E46918">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5</w:t>
            </w:r>
          </w:p>
        </w:tc>
        <w:tc>
          <w:tcPr>
            <w:tcW w:w="6225" w:type="dxa"/>
            <w:vAlign w:val="center"/>
          </w:tcPr>
          <w:p w14:paraId="1281B3A4">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纺织物</w:t>
            </w:r>
          </w:p>
        </w:tc>
      </w:tr>
      <w:tr w14:paraId="39D2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1136CCA">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6</w:t>
            </w:r>
          </w:p>
        </w:tc>
        <w:tc>
          <w:tcPr>
            <w:tcW w:w="6225" w:type="dxa"/>
            <w:vAlign w:val="center"/>
          </w:tcPr>
          <w:p w14:paraId="047E9B19">
            <w:pPr>
              <w:snapToGrid w:val="0"/>
              <w:rPr>
                <w:rFonts w:ascii="宋体" w:hAnsi="宋体" w:eastAsia="宋体" w:cs="Times New Roman"/>
                <w:kern w:val="0"/>
                <w:sz w:val="21"/>
                <w:szCs w:val="21"/>
              </w:rPr>
            </w:pPr>
            <w:r>
              <w:rPr>
                <w:rFonts w:hint="eastAsia" w:ascii="宋体" w:hAnsi="宋体" w:eastAsia="宋体" w:cs="Times New Roman"/>
                <w:kern w:val="0"/>
                <w:sz w:val="21"/>
                <w:szCs w:val="21"/>
              </w:rPr>
              <w:t>玻璃/陶瓷/金属材料（需为正常使用时可拆卸部件，且能够完全容入标准要求的小零件试验器）</w:t>
            </w:r>
          </w:p>
        </w:tc>
      </w:tr>
      <w:tr w14:paraId="7106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07FFF9FD">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7</w:t>
            </w:r>
          </w:p>
        </w:tc>
        <w:tc>
          <w:tcPr>
            <w:tcW w:w="6225" w:type="dxa"/>
            <w:vAlign w:val="center"/>
          </w:tcPr>
          <w:p w14:paraId="06B73596">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其它可浸染材料，例如木材、合成板材、骨头和皮革</w:t>
            </w:r>
          </w:p>
        </w:tc>
      </w:tr>
      <w:tr w14:paraId="13CA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12300758">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8</w:t>
            </w:r>
          </w:p>
        </w:tc>
        <w:tc>
          <w:tcPr>
            <w:tcW w:w="6225" w:type="dxa"/>
            <w:vAlign w:val="center"/>
          </w:tcPr>
          <w:p w14:paraId="3E5600DA">
            <w:pPr>
              <w:snapToGrid w:val="0"/>
              <w:jc w:val="center"/>
              <w:rPr>
                <w:rFonts w:ascii="宋体" w:hAnsi="宋体" w:eastAsia="宋体" w:cs="Times New Roman"/>
                <w:kern w:val="0"/>
                <w:sz w:val="21"/>
                <w:szCs w:val="21"/>
              </w:rPr>
            </w:pPr>
            <w:r>
              <w:rPr>
                <w:rFonts w:hint="eastAsia" w:ascii="宋体" w:hAnsi="宋体" w:eastAsia="宋体" w:cs="Times New Roman"/>
                <w:kern w:val="0"/>
                <w:sz w:val="21"/>
                <w:szCs w:val="21"/>
              </w:rPr>
              <w:t>固态或液态的颜料、清漆、生漆、釉粉或类似材料</w:t>
            </w:r>
          </w:p>
        </w:tc>
      </w:tr>
    </w:tbl>
    <w:p w14:paraId="6BCD7064">
      <w:pPr>
        <w:pStyle w:val="10"/>
        <w:numPr>
          <w:ilvl w:val="1"/>
          <w:numId w:val="1"/>
        </w:numPr>
        <w:spacing w:before="156" w:after="156"/>
      </w:pPr>
      <w:r>
        <w:rPr>
          <w:rFonts w:hint="eastAsia"/>
        </w:rPr>
        <w:t>苯系物、总挥发有机化合物及甲醛</w:t>
      </w:r>
    </w:p>
    <w:p w14:paraId="7B5CDDB9">
      <w:pPr>
        <w:pStyle w:val="13"/>
        <w:spacing w:before="156" w:after="156"/>
        <w:rPr>
          <w:rFonts w:hint="eastAsia"/>
        </w:rPr>
      </w:pPr>
      <w:r>
        <w:rPr>
          <w:rFonts w:hint="eastAsia"/>
        </w:rPr>
        <w:t>表</w:t>
      </w:r>
      <w:r>
        <w:t>4</w:t>
      </w:r>
    </w:p>
    <w:tbl>
      <w:tblPr>
        <w:tblStyle w:val="5"/>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225"/>
      </w:tblGrid>
      <w:tr w14:paraId="0DF8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476DA682">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序号</w:t>
            </w:r>
          </w:p>
        </w:tc>
        <w:tc>
          <w:tcPr>
            <w:tcW w:w="6225" w:type="dxa"/>
            <w:vAlign w:val="center"/>
          </w:tcPr>
          <w:p w14:paraId="6B1C6E10">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部件材料</w:t>
            </w:r>
          </w:p>
        </w:tc>
      </w:tr>
      <w:tr w14:paraId="436A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9AF1100">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6225" w:type="dxa"/>
            <w:vAlign w:val="center"/>
          </w:tcPr>
          <w:p w14:paraId="4DAC2860">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乐器整体</w:t>
            </w:r>
          </w:p>
        </w:tc>
      </w:tr>
      <w:tr w14:paraId="5CC7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FEDB682">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6225" w:type="dxa"/>
            <w:vAlign w:val="center"/>
          </w:tcPr>
          <w:p w14:paraId="6FA013BF">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乐器配件</w:t>
            </w:r>
          </w:p>
        </w:tc>
      </w:tr>
      <w:tr w14:paraId="54AD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03C34608">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6225" w:type="dxa"/>
            <w:vAlign w:val="center"/>
          </w:tcPr>
          <w:p w14:paraId="6CA04C84">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置于室内的乐器包装物</w:t>
            </w:r>
          </w:p>
        </w:tc>
      </w:tr>
    </w:tbl>
    <w:p w14:paraId="50B3BCF7">
      <w:pPr>
        <w:pStyle w:val="10"/>
        <w:numPr>
          <w:ilvl w:val="1"/>
          <w:numId w:val="1"/>
        </w:numPr>
        <w:spacing w:before="156" w:after="156"/>
      </w:pPr>
      <w:r>
        <w:rPr>
          <w:rFonts w:hint="eastAsia"/>
        </w:rPr>
        <w:t>芳香胺染料</w:t>
      </w:r>
    </w:p>
    <w:p w14:paraId="10C202C6">
      <w:pPr>
        <w:pStyle w:val="13"/>
        <w:spacing w:before="156" w:after="156"/>
        <w:ind w:left="720"/>
        <w:rPr>
          <w:rFonts w:hint="eastAsia"/>
        </w:rPr>
      </w:pPr>
      <w:r>
        <w:rPr>
          <w:rFonts w:hint="eastAsia"/>
        </w:rPr>
        <w:t>表</w:t>
      </w:r>
      <w:r>
        <w:t>5</w:t>
      </w:r>
    </w:p>
    <w:tbl>
      <w:tblPr>
        <w:tblStyle w:val="5"/>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225"/>
      </w:tblGrid>
      <w:tr w14:paraId="042C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9C944EB">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序号</w:t>
            </w:r>
          </w:p>
        </w:tc>
        <w:tc>
          <w:tcPr>
            <w:tcW w:w="6225" w:type="dxa"/>
            <w:vAlign w:val="center"/>
          </w:tcPr>
          <w:p w14:paraId="25D01E14">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部件材料</w:t>
            </w:r>
          </w:p>
        </w:tc>
      </w:tr>
      <w:tr w14:paraId="1F8E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087AE11">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6225" w:type="dxa"/>
            <w:vAlign w:val="center"/>
          </w:tcPr>
          <w:p w14:paraId="3C6B8150">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经印染加工的纺织物</w:t>
            </w:r>
          </w:p>
        </w:tc>
      </w:tr>
      <w:tr w14:paraId="0470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311248C">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6225" w:type="dxa"/>
            <w:vAlign w:val="center"/>
          </w:tcPr>
          <w:p w14:paraId="6B3EA287">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经印染加工的皮革、毛皮</w:t>
            </w:r>
          </w:p>
        </w:tc>
      </w:tr>
    </w:tbl>
    <w:p w14:paraId="650927CF">
      <w:pPr>
        <w:pStyle w:val="10"/>
        <w:numPr>
          <w:ilvl w:val="1"/>
          <w:numId w:val="1"/>
        </w:numPr>
        <w:spacing w:before="156" w:after="156"/>
      </w:pPr>
      <w:r>
        <w:rPr>
          <w:rFonts w:hint="eastAsia"/>
        </w:rPr>
        <w:t>四氯苯酚物质</w:t>
      </w:r>
    </w:p>
    <w:p w14:paraId="12EF4D1A">
      <w:pPr>
        <w:pStyle w:val="13"/>
        <w:spacing w:before="156" w:after="156"/>
        <w:ind w:left="720"/>
        <w:rPr>
          <w:rFonts w:hint="eastAsia"/>
        </w:rPr>
      </w:pPr>
      <w:r>
        <w:rPr>
          <w:rFonts w:hint="eastAsia"/>
        </w:rPr>
        <w:t>表</w:t>
      </w:r>
      <w:r>
        <w:t>6</w:t>
      </w:r>
    </w:p>
    <w:tbl>
      <w:tblPr>
        <w:tblStyle w:val="5"/>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225"/>
      </w:tblGrid>
      <w:tr w14:paraId="4B2B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D5DDF2E">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序号</w:t>
            </w:r>
          </w:p>
        </w:tc>
        <w:tc>
          <w:tcPr>
            <w:tcW w:w="6225" w:type="dxa"/>
            <w:vAlign w:val="center"/>
          </w:tcPr>
          <w:p w14:paraId="05986026">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部件材料</w:t>
            </w:r>
          </w:p>
        </w:tc>
      </w:tr>
      <w:tr w14:paraId="5A95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65CC0330">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6225" w:type="dxa"/>
            <w:vAlign w:val="center"/>
          </w:tcPr>
          <w:p w14:paraId="47E6098E">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纺织物</w:t>
            </w:r>
          </w:p>
        </w:tc>
      </w:tr>
      <w:tr w14:paraId="02CD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51D62B78">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6225" w:type="dxa"/>
            <w:vAlign w:val="center"/>
          </w:tcPr>
          <w:p w14:paraId="3B4DAE37">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皮革、毛皮</w:t>
            </w:r>
          </w:p>
        </w:tc>
      </w:tr>
    </w:tbl>
    <w:p w14:paraId="704EE765">
      <w:pPr>
        <w:pStyle w:val="10"/>
        <w:numPr>
          <w:ilvl w:val="1"/>
          <w:numId w:val="1"/>
        </w:numPr>
        <w:spacing w:before="156" w:after="156"/>
      </w:pPr>
      <w:r>
        <w:rPr>
          <w:rFonts w:hint="eastAsia"/>
        </w:rPr>
        <w:t>五氯苯酚物质</w:t>
      </w:r>
    </w:p>
    <w:p w14:paraId="61A7529D">
      <w:pPr>
        <w:pStyle w:val="13"/>
        <w:spacing w:before="156" w:after="156"/>
        <w:ind w:left="720"/>
        <w:rPr>
          <w:rFonts w:hint="eastAsia"/>
        </w:rPr>
      </w:pPr>
      <w:r>
        <w:rPr>
          <w:rFonts w:hint="eastAsia"/>
        </w:rPr>
        <w:t>表</w:t>
      </w:r>
      <w:r>
        <w:t>7</w:t>
      </w:r>
    </w:p>
    <w:tbl>
      <w:tblPr>
        <w:tblStyle w:val="5"/>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225"/>
      </w:tblGrid>
      <w:tr w14:paraId="476F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8A4B2F6">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序号</w:t>
            </w:r>
          </w:p>
        </w:tc>
        <w:tc>
          <w:tcPr>
            <w:tcW w:w="6225" w:type="dxa"/>
            <w:vAlign w:val="center"/>
          </w:tcPr>
          <w:p w14:paraId="42384D8B">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部件材料</w:t>
            </w:r>
          </w:p>
        </w:tc>
      </w:tr>
      <w:tr w14:paraId="5ED7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1DE7AD2F">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6225" w:type="dxa"/>
            <w:vAlign w:val="center"/>
          </w:tcPr>
          <w:p w14:paraId="681B5B00">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纺织物</w:t>
            </w:r>
          </w:p>
        </w:tc>
      </w:tr>
      <w:tr w14:paraId="5DB9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7CDC3444">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6225" w:type="dxa"/>
            <w:vAlign w:val="center"/>
          </w:tcPr>
          <w:p w14:paraId="273AA4E4">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防腐处理的木材、人造板</w:t>
            </w:r>
          </w:p>
        </w:tc>
      </w:tr>
      <w:tr w14:paraId="3E64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dxa"/>
            <w:vAlign w:val="center"/>
          </w:tcPr>
          <w:p w14:paraId="0A46C3C9">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6225" w:type="dxa"/>
            <w:vAlign w:val="center"/>
          </w:tcPr>
          <w:p w14:paraId="0867F1DA">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皮革、毛皮</w:t>
            </w:r>
          </w:p>
        </w:tc>
      </w:tr>
    </w:tbl>
    <w:p w14:paraId="5BB4604B">
      <w:pPr>
        <w:pStyle w:val="10"/>
        <w:numPr>
          <w:ilvl w:val="1"/>
          <w:numId w:val="1"/>
        </w:numPr>
        <w:spacing w:before="156" w:after="156"/>
      </w:pPr>
      <w:r>
        <w:rPr>
          <w:rFonts w:hint="eastAsia"/>
        </w:rPr>
        <w:t>电子部件限用物质</w:t>
      </w:r>
    </w:p>
    <w:p w14:paraId="08500F2A">
      <w:pPr>
        <w:pStyle w:val="13"/>
        <w:spacing w:before="156" w:after="156"/>
        <w:ind w:left="720"/>
        <w:rPr>
          <w:rFonts w:hint="eastAsia" w:eastAsia="黑体"/>
          <w:lang w:eastAsia="zh-CN"/>
        </w:rPr>
      </w:pPr>
      <w:r>
        <w:rPr>
          <w:rFonts w:hint="eastAsia"/>
        </w:rPr>
        <w:t>表</w:t>
      </w:r>
      <w:r>
        <w:rPr>
          <w:rFonts w:hint="eastAsia"/>
          <w:lang w:val="en-US" w:eastAsia="zh-CN"/>
        </w:rPr>
        <w:t>8</w:t>
      </w:r>
    </w:p>
    <w:tbl>
      <w:tblPr>
        <w:tblStyle w:val="5"/>
        <w:tblW w:w="7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6244"/>
      </w:tblGrid>
      <w:tr w14:paraId="4E6E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7" w:type="dxa"/>
            <w:vAlign w:val="center"/>
          </w:tcPr>
          <w:p w14:paraId="68ACD482">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序号</w:t>
            </w:r>
          </w:p>
        </w:tc>
        <w:tc>
          <w:tcPr>
            <w:tcW w:w="6244" w:type="dxa"/>
            <w:vAlign w:val="center"/>
          </w:tcPr>
          <w:p w14:paraId="6DE225FE">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部件材料</w:t>
            </w:r>
          </w:p>
        </w:tc>
      </w:tr>
      <w:tr w14:paraId="6413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7" w:type="dxa"/>
            <w:vAlign w:val="center"/>
          </w:tcPr>
          <w:p w14:paraId="7A16540E">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6244" w:type="dxa"/>
            <w:vAlign w:val="center"/>
          </w:tcPr>
          <w:p w14:paraId="1694BF49">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乐器中的电子部件</w:t>
            </w:r>
          </w:p>
        </w:tc>
      </w:tr>
      <w:tr w14:paraId="0169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7" w:type="dxa"/>
            <w:vAlign w:val="center"/>
          </w:tcPr>
          <w:p w14:paraId="248AC327">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6244" w:type="dxa"/>
            <w:vAlign w:val="center"/>
          </w:tcPr>
          <w:p w14:paraId="6F74AEAB">
            <w:pPr>
              <w:snapToGrid w:val="0"/>
              <w:jc w:val="center"/>
              <w:rPr>
                <w:rFonts w:ascii="Times New Roman" w:hAnsi="Times New Roman" w:eastAsia="宋体" w:cs="Times New Roman"/>
                <w:kern w:val="0"/>
                <w:sz w:val="21"/>
                <w:szCs w:val="21"/>
              </w:rPr>
            </w:pPr>
            <w:r>
              <w:rPr>
                <w:rFonts w:ascii="Calibri" w:hAnsi="Calibri" w:eastAsia="宋体" w:cs="Times New Roman"/>
                <w:kern w:val="0"/>
                <w:sz w:val="21"/>
                <w:szCs w:val="21"/>
              </w:rPr>
              <w:t>配套</w:t>
            </w:r>
            <w:r>
              <w:rPr>
                <w:rFonts w:hint="eastAsia" w:ascii="Calibri" w:hAnsi="Calibri" w:eastAsia="宋体" w:cs="Times New Roman"/>
                <w:kern w:val="0"/>
                <w:sz w:val="21"/>
                <w:szCs w:val="21"/>
              </w:rPr>
              <w:t>电子</w:t>
            </w:r>
            <w:r>
              <w:rPr>
                <w:rFonts w:ascii="Calibri" w:hAnsi="Calibri" w:eastAsia="宋体" w:cs="Times New Roman"/>
                <w:kern w:val="0"/>
                <w:sz w:val="21"/>
                <w:szCs w:val="21"/>
              </w:rPr>
              <w:t>设备</w:t>
            </w:r>
            <w:r>
              <w:rPr>
                <w:rFonts w:hint="eastAsia" w:ascii="Calibri" w:hAnsi="Calibri" w:eastAsia="宋体" w:cs="Times New Roman"/>
                <w:kern w:val="0"/>
                <w:sz w:val="21"/>
                <w:szCs w:val="21"/>
              </w:rPr>
              <w:t>及</w:t>
            </w:r>
            <w:r>
              <w:rPr>
                <w:rFonts w:ascii="Calibri" w:hAnsi="Calibri" w:eastAsia="宋体" w:cs="Times New Roman"/>
                <w:kern w:val="0"/>
                <w:sz w:val="21"/>
                <w:szCs w:val="21"/>
              </w:rPr>
              <w:t>配件</w:t>
            </w:r>
          </w:p>
        </w:tc>
      </w:tr>
    </w:tbl>
    <w:p w14:paraId="019A6A92">
      <w:pPr>
        <w:pStyle w:val="10"/>
        <w:numPr>
          <w:ilvl w:val="1"/>
          <w:numId w:val="1"/>
        </w:numPr>
        <w:spacing w:before="156" w:after="156"/>
      </w:pPr>
      <w:r>
        <w:rPr>
          <w:rFonts w:hint="eastAsia"/>
        </w:rPr>
        <w:t>天然放射性核素</w:t>
      </w:r>
    </w:p>
    <w:p w14:paraId="0424EF4D">
      <w:pPr>
        <w:pStyle w:val="13"/>
        <w:spacing w:before="156" w:after="156"/>
        <w:ind w:left="360"/>
        <w:rPr>
          <w:rFonts w:hint="eastAsia" w:eastAsia="黑体"/>
          <w:lang w:eastAsia="zh-CN"/>
        </w:rPr>
      </w:pPr>
      <w:r>
        <w:rPr>
          <w:rFonts w:hint="eastAsia"/>
        </w:rPr>
        <w:t>表</w:t>
      </w:r>
      <w:r>
        <w:rPr>
          <w:rFonts w:hint="eastAsia"/>
          <w:lang w:val="en-US" w:eastAsia="zh-CN"/>
        </w:rPr>
        <w:t>9</w:t>
      </w:r>
    </w:p>
    <w:tbl>
      <w:tblPr>
        <w:tblStyle w:val="5"/>
        <w:tblW w:w="7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6242"/>
      </w:tblGrid>
      <w:tr w14:paraId="7060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4" w:type="dxa"/>
            <w:vAlign w:val="center"/>
          </w:tcPr>
          <w:p w14:paraId="616C6AAA">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序号</w:t>
            </w:r>
          </w:p>
        </w:tc>
        <w:tc>
          <w:tcPr>
            <w:tcW w:w="6242" w:type="dxa"/>
            <w:vAlign w:val="center"/>
          </w:tcPr>
          <w:p w14:paraId="719DEF9C">
            <w:pPr>
              <w:snapToGrid w:val="0"/>
              <w:jc w:val="center"/>
              <w:rPr>
                <w:rFonts w:ascii="Times New Roman" w:hAnsi="Times New Roman" w:eastAsia="宋体" w:cs="Times New Roman"/>
                <w:bCs/>
                <w:kern w:val="0"/>
                <w:sz w:val="21"/>
                <w:szCs w:val="21"/>
              </w:rPr>
            </w:pPr>
            <w:r>
              <w:rPr>
                <w:rFonts w:hint="eastAsia" w:ascii="Times New Roman" w:hAnsi="Times New Roman" w:eastAsia="宋体" w:cs="Times New Roman"/>
                <w:bCs/>
                <w:kern w:val="0"/>
                <w:sz w:val="21"/>
                <w:szCs w:val="21"/>
              </w:rPr>
              <w:t>部件材料</w:t>
            </w:r>
          </w:p>
        </w:tc>
      </w:tr>
      <w:tr w14:paraId="4F9A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4" w:type="dxa"/>
            <w:vAlign w:val="center"/>
          </w:tcPr>
          <w:p w14:paraId="0391DC4A">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6242" w:type="dxa"/>
            <w:vAlign w:val="center"/>
          </w:tcPr>
          <w:p w14:paraId="14A135AA">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石材</w:t>
            </w:r>
          </w:p>
        </w:tc>
      </w:tr>
      <w:tr w14:paraId="3788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4" w:type="dxa"/>
            <w:vAlign w:val="center"/>
          </w:tcPr>
          <w:p w14:paraId="6982B915">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6242" w:type="dxa"/>
            <w:vAlign w:val="center"/>
          </w:tcPr>
          <w:p w14:paraId="4F1AEAB8">
            <w:pPr>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陶瓷</w:t>
            </w:r>
          </w:p>
        </w:tc>
      </w:tr>
    </w:tbl>
    <w:p w14:paraId="0FE6D83F">
      <w:pPr>
        <w:pStyle w:val="9"/>
        <w:numPr>
          <w:ilvl w:val="0"/>
          <w:numId w:val="1"/>
        </w:numPr>
        <w:spacing w:before="312" w:after="312"/>
        <w:ind w:left="0" w:firstLine="0"/>
        <w:rPr>
          <w:b/>
          <w:bCs/>
          <w:szCs w:val="21"/>
        </w:rPr>
      </w:pPr>
      <w:r>
        <w:rPr>
          <w:rFonts w:hint="eastAsia"/>
          <w:b/>
          <w:bCs/>
          <w:szCs w:val="21"/>
        </w:rPr>
        <w:t xml:space="preserve">附则  </w:t>
      </w:r>
    </w:p>
    <w:p w14:paraId="7003DA97">
      <w:pPr>
        <w:pStyle w:val="11"/>
      </w:pPr>
      <w:r>
        <w:rPr>
          <w:rFonts w:hint="eastAsia" w:ascii="黑体" w:hAnsi="Times New Roman" w:eastAsia="黑体" w:cs="Times New Roman"/>
          <w:kern w:val="0"/>
          <w:sz w:val="21"/>
          <w:szCs w:val="20"/>
          <w:lang w:val="en-US" w:eastAsia="zh-CN" w:bidi="ar-SA"/>
        </w:rPr>
        <w:t>5.1</w:t>
      </w:r>
      <w:r>
        <w:rPr>
          <w:rFonts w:hint="eastAsia"/>
        </w:rPr>
        <w:t xml:space="preserve"> </w:t>
      </w:r>
      <w:r>
        <w:t>鉴于</w:t>
      </w:r>
      <w:r>
        <w:rPr>
          <w:rFonts w:hint="eastAsia"/>
        </w:rPr>
        <w:t>不同</w:t>
      </w:r>
      <w:r>
        <w:t>乐器的</w:t>
      </w:r>
      <w:r>
        <w:rPr>
          <w:rFonts w:hint="eastAsia"/>
        </w:rPr>
        <w:t>构造差异显著</w:t>
      </w:r>
      <w:r>
        <w:t>，</w:t>
      </w:r>
      <w:r>
        <w:rPr>
          <w:rFonts w:hint="eastAsia"/>
        </w:rPr>
        <w:t>附件列出了各种</w:t>
      </w:r>
      <w:r>
        <w:t>乐器</w:t>
      </w:r>
      <w:r>
        <w:rPr>
          <w:rFonts w:hint="eastAsia"/>
        </w:rPr>
        <w:t>非挥发性有害物质项目及</w:t>
      </w:r>
      <w:r>
        <w:rPr>
          <w:rFonts w:hint="eastAsia"/>
          <w:lang w:val="en-US" w:eastAsia="zh-CN"/>
        </w:rPr>
        <w:t>非</w:t>
      </w:r>
      <w:r>
        <w:rPr>
          <w:rFonts w:hint="eastAsia"/>
        </w:rPr>
        <w:t>电子部件限用物质项目</w:t>
      </w:r>
      <w:r>
        <w:rPr>
          <w:rFonts w:hint="eastAsia"/>
          <w:lang w:val="en-US" w:eastAsia="zh-CN"/>
        </w:rPr>
        <w:t>的</w:t>
      </w:r>
      <w:r>
        <w:t>取样</w:t>
      </w:r>
      <w:r>
        <w:rPr>
          <w:rFonts w:hint="eastAsia"/>
        </w:rPr>
        <w:t>部位</w:t>
      </w:r>
      <w:r>
        <w:t>明细</w:t>
      </w:r>
      <w:r>
        <w:rPr>
          <w:rFonts w:hint="eastAsia"/>
        </w:rPr>
        <w:t>。由于乐器种类繁多且构造各异，若待测样品未包含于</w:t>
      </w:r>
      <w:r>
        <w:rPr>
          <w:rFonts w:hint="eastAsia"/>
          <w:lang w:val="en-US" w:eastAsia="zh-CN"/>
        </w:rPr>
        <w:t>附件</w:t>
      </w:r>
      <w:r>
        <w:rPr>
          <w:rFonts w:hint="eastAsia"/>
        </w:rPr>
        <w:t>中，应参</w:t>
      </w:r>
      <w:r>
        <w:rPr>
          <w:rFonts w:hint="eastAsia"/>
          <w:lang w:val="en-US" w:eastAsia="zh-CN"/>
        </w:rPr>
        <w:t>考</w:t>
      </w:r>
      <w:bookmarkStart w:id="0" w:name="_GoBack"/>
      <w:bookmarkEnd w:id="0"/>
      <w:r>
        <w:rPr>
          <w:rFonts w:hint="eastAsia"/>
          <w:lang w:val="en-US" w:eastAsia="zh-CN"/>
        </w:rPr>
        <w:t>附件</w:t>
      </w:r>
      <w:r>
        <w:rPr>
          <w:rFonts w:hint="eastAsia"/>
        </w:rPr>
        <w:t>中结构相近乐器的取样部位执行；若具体测试试样的结构形态与附件</w:t>
      </w:r>
      <w:r>
        <w:rPr>
          <w:rFonts w:hint="eastAsia"/>
          <w:lang w:val="en-US" w:eastAsia="zh-CN"/>
        </w:rPr>
        <w:t>描述部件</w:t>
      </w:r>
      <w:r>
        <w:rPr>
          <w:rFonts w:hint="eastAsia"/>
        </w:rPr>
        <w:t>存在</w:t>
      </w:r>
      <w:r>
        <w:rPr>
          <w:rFonts w:hint="eastAsia"/>
          <w:lang w:val="en-US" w:eastAsia="zh-CN"/>
        </w:rPr>
        <w:t>明显</w:t>
      </w:r>
      <w:r>
        <w:rPr>
          <w:rFonts w:hint="eastAsia"/>
        </w:rPr>
        <w:t>差异，则需严格遵循本文件第</w:t>
      </w:r>
      <w:r>
        <w:rPr>
          <w:rFonts w:hint="eastAsia"/>
          <w:lang w:val="en-US" w:eastAsia="zh-CN"/>
        </w:rPr>
        <w:t>3</w:t>
      </w:r>
      <w:r>
        <w:rPr>
          <w:rFonts w:hint="eastAsia"/>
        </w:rPr>
        <w:t>章的规定进行部位选择。</w:t>
      </w:r>
    </w:p>
    <w:p w14:paraId="31079C14">
      <w:pPr>
        <w:pStyle w:val="11"/>
      </w:pPr>
      <w:r>
        <w:rPr>
          <w:rFonts w:hint="eastAsia" w:ascii="黑体" w:hAnsi="Times New Roman" w:eastAsia="黑体" w:cs="Times New Roman"/>
          <w:kern w:val="0"/>
          <w:sz w:val="21"/>
          <w:szCs w:val="20"/>
          <w:lang w:val="en-US" w:eastAsia="zh-CN" w:bidi="ar-SA"/>
        </w:rPr>
        <w:t>5.2</w:t>
      </w:r>
      <w:r>
        <w:rPr>
          <w:rFonts w:hint="eastAsia"/>
        </w:rPr>
        <w:t xml:space="preserve"> 本</w:t>
      </w:r>
      <w:r>
        <w:rPr>
          <w:rFonts w:hint="eastAsia"/>
          <w:lang w:val="en-US" w:eastAsia="zh-CN"/>
        </w:rPr>
        <w:t>文件</w:t>
      </w:r>
      <w:r>
        <w:rPr>
          <w:rFonts w:hint="eastAsia"/>
        </w:rPr>
        <w:t xml:space="preserve">自发布之日起实施。 </w:t>
      </w:r>
    </w:p>
    <w:p w14:paraId="5419E881">
      <w:pPr>
        <w:snapToGrid w:val="0"/>
      </w:pPr>
      <w:r>
        <w:br w:type="page"/>
      </w:r>
    </w:p>
    <w:p w14:paraId="6F79F1D9">
      <w:pPr>
        <w:snapToGrid w:val="0"/>
        <w:rPr>
          <w:b/>
          <w:bCs/>
          <w:color w:val="FF0000"/>
        </w:rPr>
      </w:pPr>
      <w:r>
        <w:rPr>
          <w:rFonts w:hint="eastAsia"/>
          <w:b/>
          <w:bCs/>
        </w:rPr>
        <w:t>附件：乐器</w:t>
      </w:r>
      <w:r>
        <w:rPr>
          <w:rFonts w:hint="eastAsia"/>
          <w:b/>
          <w:bCs/>
          <w:lang w:eastAsia="zh-CN"/>
        </w:rPr>
        <w:t>（</w:t>
      </w:r>
      <w:r>
        <w:rPr>
          <w:rFonts w:hint="eastAsia"/>
          <w:b/>
          <w:bCs/>
          <w:lang w:val="en-US" w:eastAsia="zh-CN"/>
        </w:rPr>
        <w:t>不包含配件及置于室内的包装物</w:t>
      </w:r>
      <w:r>
        <w:rPr>
          <w:rFonts w:hint="eastAsia"/>
          <w:b/>
          <w:bCs/>
          <w:lang w:eastAsia="zh-CN"/>
        </w:rPr>
        <w:t>）</w:t>
      </w:r>
      <w:r>
        <w:rPr>
          <w:rFonts w:hint="eastAsia"/>
          <w:b/>
          <w:bCs/>
        </w:rPr>
        <w:t>取样部位明细参考</w:t>
      </w:r>
    </w:p>
    <w:p w14:paraId="5F2F7231">
      <w:pPr>
        <w:numPr>
          <w:ilvl w:val="0"/>
          <w:numId w:val="2"/>
        </w:numPr>
        <w:snapToGrid w:val="0"/>
      </w:pPr>
      <w:r>
        <w:rPr>
          <w:rFonts w:hint="eastAsia"/>
        </w:rPr>
        <w:t>弦鸣乐器</w:t>
      </w:r>
    </w:p>
    <w:p w14:paraId="123CBAF2">
      <w:pPr>
        <w:numPr>
          <w:ilvl w:val="1"/>
          <w:numId w:val="2"/>
        </w:numPr>
        <w:snapToGrid w:val="0"/>
      </w:pPr>
      <w:r>
        <w:rPr>
          <w:rFonts w:hint="eastAsia"/>
        </w:rPr>
        <w:t>钢琴：白键、黑键、外壳</w:t>
      </w:r>
      <w:r>
        <w:rPr>
          <w:rFonts w:hint="eastAsia"/>
          <w:lang w:eastAsia="zh-CN"/>
        </w:rPr>
        <w:t>、</w:t>
      </w:r>
      <w:r>
        <w:rPr>
          <w:rFonts w:hint="eastAsia"/>
          <w:lang w:val="en-US" w:eastAsia="zh-CN"/>
        </w:rPr>
        <w:t>谱架</w:t>
      </w:r>
      <w:r>
        <w:rPr>
          <w:rFonts w:hint="eastAsia"/>
        </w:rPr>
        <w:t>。</w:t>
      </w:r>
    </w:p>
    <w:p w14:paraId="0F740FBF">
      <w:pPr>
        <w:numPr>
          <w:ilvl w:val="1"/>
          <w:numId w:val="2"/>
        </w:numPr>
        <w:snapToGrid w:val="0"/>
      </w:pPr>
      <w:r>
        <w:rPr>
          <w:rFonts w:hint="eastAsia"/>
        </w:rPr>
        <w:t>吉它：</w:t>
      </w:r>
      <w:r>
        <w:rPr>
          <w:rFonts w:hint="eastAsia" w:hAnsi="宋体"/>
          <w:sz w:val="21"/>
          <w:szCs w:val="21"/>
        </w:rPr>
        <w:t>琴体（面板、背板、侧板、琴颈）、弦、</w:t>
      </w:r>
      <w:r>
        <w:rPr>
          <w:rFonts w:hint="eastAsia" w:hAnsi="宋体"/>
          <w:sz w:val="21"/>
          <w:szCs w:val="21"/>
          <w:lang w:val="en-US" w:eastAsia="zh-CN"/>
        </w:rPr>
        <w:t>品丝、指板</w:t>
      </w:r>
      <w:r>
        <w:rPr>
          <w:rFonts w:hint="eastAsia" w:hAnsi="宋体"/>
          <w:sz w:val="21"/>
          <w:szCs w:val="21"/>
        </w:rPr>
        <w:t>、护板（民谣）、弦轴、品位标志</w:t>
      </w:r>
    </w:p>
    <w:p w14:paraId="3E4409CA">
      <w:pPr>
        <w:numPr>
          <w:ilvl w:val="1"/>
          <w:numId w:val="2"/>
        </w:numPr>
        <w:snapToGrid w:val="0"/>
      </w:pPr>
      <w:r>
        <w:rPr>
          <w:rFonts w:hint="eastAsia"/>
        </w:rPr>
        <w:t>尤克里里：</w:t>
      </w:r>
      <w:r>
        <w:rPr>
          <w:rFonts w:hint="eastAsia" w:hAnsi="宋体"/>
          <w:sz w:val="21"/>
          <w:szCs w:val="21"/>
        </w:rPr>
        <w:t>琴体（面板、背板、侧板、琴颈）、弦、</w:t>
      </w:r>
      <w:r>
        <w:rPr>
          <w:rFonts w:hint="eastAsia" w:hAnsi="宋体"/>
          <w:sz w:val="21"/>
          <w:szCs w:val="21"/>
          <w:lang w:val="en-US" w:eastAsia="zh-CN"/>
        </w:rPr>
        <w:t>品丝、指板</w:t>
      </w:r>
      <w:r>
        <w:rPr>
          <w:rFonts w:hint="eastAsia" w:hAnsi="宋体"/>
          <w:sz w:val="21"/>
          <w:szCs w:val="21"/>
        </w:rPr>
        <w:t>、弦轴、品位标志</w:t>
      </w:r>
      <w:r>
        <w:rPr>
          <w:rFonts w:hint="eastAsia" w:hAnsi="宋体"/>
          <w:sz w:val="21"/>
          <w:szCs w:val="21"/>
          <w:lang w:eastAsia="zh-CN"/>
        </w:rPr>
        <w:t>。</w:t>
      </w:r>
    </w:p>
    <w:p w14:paraId="179A2E74">
      <w:pPr>
        <w:numPr>
          <w:ilvl w:val="1"/>
          <w:numId w:val="2"/>
        </w:numPr>
        <w:snapToGrid w:val="0"/>
      </w:pPr>
      <w:r>
        <w:rPr>
          <w:rFonts w:hint="eastAsia"/>
        </w:rPr>
        <w:t>筝：</w:t>
      </w:r>
      <w:r>
        <w:rPr>
          <w:rFonts w:hint="eastAsia" w:hAnsi="宋体"/>
          <w:sz w:val="21"/>
          <w:szCs w:val="21"/>
        </w:rPr>
        <w:t>装饰板、弦、琴马</w:t>
      </w:r>
      <w:r>
        <w:rPr>
          <w:rFonts w:hint="eastAsia"/>
        </w:rPr>
        <w:t>。</w:t>
      </w:r>
    </w:p>
    <w:p w14:paraId="2C502072">
      <w:pPr>
        <w:numPr>
          <w:ilvl w:val="1"/>
          <w:numId w:val="2"/>
        </w:numPr>
        <w:snapToGrid w:val="0"/>
      </w:pPr>
      <w:r>
        <w:rPr>
          <w:rFonts w:hint="eastAsia"/>
        </w:rPr>
        <w:t>琵琶：</w:t>
      </w:r>
      <w:r>
        <w:rPr>
          <w:rFonts w:hint="eastAsia" w:hAnsi="宋体"/>
          <w:sz w:val="21"/>
          <w:szCs w:val="21"/>
        </w:rPr>
        <w:t>弦轴、相、品、弦、琴体（面板、背板）</w:t>
      </w:r>
      <w:r>
        <w:rPr>
          <w:rFonts w:hint="eastAsia"/>
        </w:rPr>
        <w:t>。</w:t>
      </w:r>
    </w:p>
    <w:p w14:paraId="4B47CC6C">
      <w:pPr>
        <w:numPr>
          <w:ilvl w:val="1"/>
          <w:numId w:val="2"/>
        </w:numPr>
        <w:snapToGrid w:val="0"/>
      </w:pPr>
      <w:r>
        <w:rPr>
          <w:rFonts w:hint="eastAsia"/>
        </w:rPr>
        <w:t>二胡</w:t>
      </w:r>
      <w:r>
        <w:rPr>
          <w:rFonts w:hint="eastAsia"/>
          <w:lang w:eastAsia="zh-CN"/>
        </w:rPr>
        <w:t>、</w:t>
      </w:r>
      <w:r>
        <w:rPr>
          <w:rFonts w:hint="eastAsia"/>
          <w:lang w:val="en-US" w:eastAsia="zh-CN"/>
        </w:rPr>
        <w:t>板胡</w:t>
      </w:r>
      <w:r>
        <w:rPr>
          <w:rFonts w:hint="eastAsia"/>
        </w:rPr>
        <w:t>：</w:t>
      </w:r>
      <w:r>
        <w:rPr>
          <w:rFonts w:hint="eastAsia" w:hAnsi="宋体"/>
          <w:sz w:val="21"/>
          <w:szCs w:val="21"/>
        </w:rPr>
        <w:t>琴体（琴杆、琴筒、琴托）、弦轴、弦、琴弓弓体、弓毛套管、弓尾螺丝、弓鱼、</w:t>
      </w:r>
      <w:r>
        <w:rPr>
          <w:rFonts w:hint="eastAsia" w:hAnsi="宋体"/>
          <w:sz w:val="21"/>
          <w:szCs w:val="21"/>
          <w:lang w:val="en-US" w:eastAsia="zh-CN"/>
        </w:rPr>
        <w:t>弓毛</w:t>
      </w:r>
      <w:r>
        <w:rPr>
          <w:rFonts w:hint="eastAsia"/>
        </w:rPr>
        <w:t>。</w:t>
      </w:r>
    </w:p>
    <w:p w14:paraId="6E44E8D3">
      <w:pPr>
        <w:numPr>
          <w:ilvl w:val="1"/>
          <w:numId w:val="2"/>
        </w:numPr>
        <w:snapToGrid w:val="0"/>
      </w:pPr>
      <w:r>
        <w:rPr>
          <w:rFonts w:hint="eastAsia"/>
        </w:rPr>
        <w:t>京胡：</w:t>
      </w:r>
      <w:r>
        <w:rPr>
          <w:rFonts w:hint="eastAsia" w:hAnsi="宋体"/>
          <w:sz w:val="21"/>
          <w:szCs w:val="21"/>
        </w:rPr>
        <w:t>琴体（琴杆、琴筒、琴托）、弦轴、弦、琴弓弓体、弓毛</w:t>
      </w:r>
      <w:r>
        <w:rPr>
          <w:rFonts w:hint="eastAsia"/>
        </w:rPr>
        <w:t>。</w:t>
      </w:r>
    </w:p>
    <w:p w14:paraId="62F3EFA3">
      <w:pPr>
        <w:numPr>
          <w:ilvl w:val="1"/>
          <w:numId w:val="2"/>
        </w:numPr>
        <w:snapToGrid w:val="0"/>
      </w:pPr>
      <w:r>
        <w:rPr>
          <w:rFonts w:hint="eastAsia"/>
        </w:rPr>
        <w:t>柳琴：</w:t>
      </w:r>
      <w:r>
        <w:rPr>
          <w:rFonts w:hint="eastAsia" w:hAnsi="宋体"/>
          <w:sz w:val="21"/>
          <w:szCs w:val="21"/>
        </w:rPr>
        <w:t>弦轴、琴体（背板、面板）、弦、品</w:t>
      </w:r>
      <w:r>
        <w:rPr>
          <w:rFonts w:hint="eastAsia"/>
        </w:rPr>
        <w:t>。</w:t>
      </w:r>
    </w:p>
    <w:p w14:paraId="076EB51F">
      <w:pPr>
        <w:numPr>
          <w:ilvl w:val="1"/>
          <w:numId w:val="2"/>
        </w:numPr>
        <w:snapToGrid w:val="0"/>
      </w:pPr>
      <w:r>
        <w:rPr>
          <w:rFonts w:hint="eastAsia"/>
        </w:rPr>
        <w:t>琴（古琴）：</w:t>
      </w:r>
      <w:r>
        <w:rPr>
          <w:rFonts w:hint="eastAsia" w:hAnsi="宋体"/>
          <w:sz w:val="21"/>
          <w:szCs w:val="21"/>
        </w:rPr>
        <w:t>琴体（不含龙龈、岳山）、弦、弦轸</w:t>
      </w:r>
      <w:r>
        <w:rPr>
          <w:rFonts w:hint="eastAsia"/>
        </w:rPr>
        <w:t>。</w:t>
      </w:r>
    </w:p>
    <w:p w14:paraId="7AC9ADFD">
      <w:pPr>
        <w:numPr>
          <w:ilvl w:val="1"/>
          <w:numId w:val="2"/>
        </w:numPr>
        <w:snapToGrid w:val="0"/>
      </w:pPr>
      <w:r>
        <w:rPr>
          <w:rFonts w:hint="eastAsia"/>
        </w:rPr>
        <w:t>阮：</w:t>
      </w:r>
      <w:r>
        <w:rPr>
          <w:rFonts w:hint="eastAsia" w:hAnsi="宋体"/>
          <w:sz w:val="21"/>
          <w:szCs w:val="21"/>
        </w:rPr>
        <w:t>弦轴、指板、弦、品、琴体（面板、背板、琴鼓）</w:t>
      </w:r>
      <w:r>
        <w:rPr>
          <w:rFonts w:hint="eastAsia"/>
        </w:rPr>
        <w:t>。</w:t>
      </w:r>
    </w:p>
    <w:p w14:paraId="06C217AC">
      <w:pPr>
        <w:numPr>
          <w:ilvl w:val="1"/>
          <w:numId w:val="2"/>
        </w:numPr>
        <w:snapToGrid w:val="0"/>
      </w:pPr>
      <w:r>
        <w:rPr>
          <w:rFonts w:hint="eastAsia"/>
        </w:rPr>
        <w:t>三弦：</w:t>
      </w:r>
      <w:r>
        <w:rPr>
          <w:rFonts w:hint="eastAsia" w:hAnsi="宋体"/>
          <w:sz w:val="21"/>
          <w:szCs w:val="21"/>
        </w:rPr>
        <w:t>弦轴、指板、弦、琴体（琴杆、琴鼓）、膜、支架</w:t>
      </w:r>
      <w:r>
        <w:rPr>
          <w:rFonts w:hint="eastAsia"/>
        </w:rPr>
        <w:t>。</w:t>
      </w:r>
    </w:p>
    <w:p w14:paraId="529AC220">
      <w:pPr>
        <w:numPr>
          <w:ilvl w:val="1"/>
          <w:numId w:val="2"/>
        </w:numPr>
        <w:snapToGrid w:val="0"/>
      </w:pPr>
      <w:r>
        <w:rPr>
          <w:rFonts w:hint="eastAsia"/>
        </w:rPr>
        <w:t>扬琴：</w:t>
      </w:r>
      <w:r>
        <w:rPr>
          <w:rFonts w:hint="eastAsia" w:hAnsi="宋体"/>
          <w:sz w:val="21"/>
          <w:szCs w:val="21"/>
        </w:rPr>
        <w:t>盖板、击键、弦</w:t>
      </w:r>
      <w:r>
        <w:rPr>
          <w:rFonts w:hint="eastAsia"/>
        </w:rPr>
        <w:t>。</w:t>
      </w:r>
    </w:p>
    <w:p w14:paraId="0C7BEAC8">
      <w:pPr>
        <w:numPr>
          <w:ilvl w:val="1"/>
          <w:numId w:val="2"/>
        </w:numPr>
        <w:snapToGrid w:val="0"/>
      </w:pPr>
      <w:r>
        <w:rPr>
          <w:rFonts w:hint="eastAsia"/>
        </w:rPr>
        <w:t>月琴：</w:t>
      </w:r>
      <w:r>
        <w:rPr>
          <w:rFonts w:hint="eastAsia" w:hAnsi="宋体"/>
          <w:sz w:val="21"/>
          <w:szCs w:val="21"/>
        </w:rPr>
        <w:t>弦轴、弦、品、琴体（面板、背板、琴鼓、琴颈）</w:t>
      </w:r>
      <w:r>
        <w:rPr>
          <w:rFonts w:hint="eastAsia"/>
        </w:rPr>
        <w:t>。</w:t>
      </w:r>
    </w:p>
    <w:p w14:paraId="7827FEFC">
      <w:pPr>
        <w:numPr>
          <w:ilvl w:val="1"/>
          <w:numId w:val="2"/>
        </w:numPr>
        <w:snapToGrid w:val="0"/>
      </w:pPr>
      <w:r>
        <w:rPr>
          <w:rFonts w:hint="eastAsia"/>
        </w:rPr>
        <w:t>提琴：</w:t>
      </w:r>
      <w:r>
        <w:rPr>
          <w:rFonts w:hint="eastAsia" w:hAnsi="宋体"/>
          <w:sz w:val="21"/>
          <w:szCs w:val="21"/>
        </w:rPr>
        <w:t>琴体（面板、背板、侧板、琴颈）、指板、弦轴、腮托（小提琴、中提琴）、尾柱、琴弓弓体、弓毛库、弓尾橡胶、弓毛</w:t>
      </w:r>
      <w:r>
        <w:rPr>
          <w:rFonts w:hint="eastAsia"/>
        </w:rPr>
        <w:t>。</w:t>
      </w:r>
    </w:p>
    <w:p w14:paraId="5EF7120B">
      <w:pPr>
        <w:numPr>
          <w:ilvl w:val="0"/>
          <w:numId w:val="2"/>
        </w:numPr>
        <w:snapToGrid w:val="0"/>
      </w:pPr>
      <w:r>
        <w:rPr>
          <w:rFonts w:hint="eastAsia"/>
        </w:rPr>
        <w:t>气鸣乐器</w:t>
      </w:r>
    </w:p>
    <w:p w14:paraId="4AE2B1F2">
      <w:pPr>
        <w:numPr>
          <w:ilvl w:val="1"/>
          <w:numId w:val="2"/>
        </w:numPr>
        <w:snapToGrid w:val="0"/>
      </w:pPr>
      <w:r>
        <w:rPr>
          <w:rFonts w:hint="eastAsia"/>
        </w:rPr>
        <w:t>唇振动气鸣乐器（西洋铜管类乐器）：</w:t>
      </w:r>
      <w:r>
        <w:rPr>
          <w:rFonts w:hint="eastAsia" w:hAnsi="宋体"/>
          <w:sz w:val="21"/>
          <w:szCs w:val="21"/>
        </w:rPr>
        <w:t>管体（包括喇叭口、附管、调音管、伸缩滑管在内）、阀键</w:t>
      </w:r>
      <w:r>
        <w:rPr>
          <w:rFonts w:hint="eastAsia"/>
        </w:rPr>
        <w:t>。</w:t>
      </w:r>
    </w:p>
    <w:p w14:paraId="64D2C9C3">
      <w:pPr>
        <w:numPr>
          <w:ilvl w:val="1"/>
          <w:numId w:val="2"/>
        </w:numPr>
        <w:snapToGrid w:val="0"/>
      </w:pPr>
      <w:r>
        <w:rPr>
          <w:rFonts w:hint="eastAsia"/>
        </w:rPr>
        <w:t>簧振动和边棱音气鸣乐器（西洋木管类乐器）：吹口、笛头、哨片、卡箍、主体管、按键、喇叭口。</w:t>
      </w:r>
    </w:p>
    <w:p w14:paraId="4D935BC9">
      <w:pPr>
        <w:numPr>
          <w:ilvl w:val="1"/>
          <w:numId w:val="2"/>
        </w:numPr>
        <w:snapToGrid w:val="0"/>
      </w:pPr>
      <w:r>
        <w:rPr>
          <w:rFonts w:hint="eastAsia"/>
        </w:rPr>
        <w:t>笛子、箫：管体、扎绳、镶口。</w:t>
      </w:r>
    </w:p>
    <w:p w14:paraId="04D2CD42">
      <w:pPr>
        <w:numPr>
          <w:ilvl w:val="1"/>
          <w:numId w:val="2"/>
        </w:numPr>
        <w:snapToGrid w:val="0"/>
      </w:pPr>
      <w:r>
        <w:rPr>
          <w:rFonts w:hint="eastAsia"/>
        </w:rPr>
        <w:t>笙：笙斗、吹嘴、键、笙苗、笙箍、共鸣管、笙脚。</w:t>
      </w:r>
    </w:p>
    <w:p w14:paraId="5E6D11CF">
      <w:pPr>
        <w:numPr>
          <w:ilvl w:val="1"/>
          <w:numId w:val="2"/>
        </w:numPr>
        <w:snapToGrid w:val="0"/>
      </w:pPr>
      <w:r>
        <w:rPr>
          <w:rFonts w:hint="eastAsia"/>
        </w:rPr>
        <w:t>唢呐：哨子、芯子、杆、喇叭口、气盘。</w:t>
      </w:r>
    </w:p>
    <w:p w14:paraId="693D3EE9">
      <w:pPr>
        <w:numPr>
          <w:ilvl w:val="1"/>
          <w:numId w:val="2"/>
        </w:numPr>
        <w:snapToGrid w:val="0"/>
      </w:pPr>
      <w:r>
        <w:rPr>
          <w:rFonts w:hint="eastAsia"/>
        </w:rPr>
        <w:t>葫芦丝：吹口、共鸣体、主管、按键。</w:t>
      </w:r>
    </w:p>
    <w:p w14:paraId="623EDCDA">
      <w:pPr>
        <w:numPr>
          <w:ilvl w:val="1"/>
          <w:numId w:val="2"/>
        </w:numPr>
        <w:snapToGrid w:val="0"/>
      </w:pPr>
      <w:r>
        <w:rPr>
          <w:rFonts w:hint="eastAsia"/>
        </w:rPr>
        <w:t>陶笛：主体、音栓、挂绳。</w:t>
      </w:r>
    </w:p>
    <w:p w14:paraId="4B564394">
      <w:pPr>
        <w:numPr>
          <w:ilvl w:val="1"/>
          <w:numId w:val="2"/>
        </w:numPr>
        <w:snapToGrid w:val="0"/>
      </w:pPr>
      <w:r>
        <w:rPr>
          <w:rFonts w:hint="eastAsia"/>
        </w:rPr>
        <w:t>巴乌：吹口、共鸣体、主管、按键。</w:t>
      </w:r>
    </w:p>
    <w:p w14:paraId="75F058DD">
      <w:pPr>
        <w:numPr>
          <w:ilvl w:val="1"/>
          <w:numId w:val="2"/>
        </w:numPr>
        <w:snapToGrid w:val="0"/>
      </w:pPr>
      <w:r>
        <w:rPr>
          <w:rFonts w:hint="eastAsia"/>
        </w:rPr>
        <w:t>手风琴：琴体、风箱、白键、黑键、贝司键、键钮琴键、变音器（包括总还原键）、背带、风箱扣带、调节轮、放气钮、贝司带。</w:t>
      </w:r>
    </w:p>
    <w:p w14:paraId="025AA566">
      <w:pPr>
        <w:numPr>
          <w:ilvl w:val="1"/>
          <w:numId w:val="2"/>
        </w:numPr>
        <w:snapToGrid w:val="0"/>
      </w:pPr>
      <w:r>
        <w:rPr>
          <w:rFonts w:hint="eastAsia"/>
        </w:rPr>
        <w:t>口琴、半音阶口琴：盖板、琴格、音簧板、变音按键。</w:t>
      </w:r>
    </w:p>
    <w:p w14:paraId="355E4225">
      <w:pPr>
        <w:numPr>
          <w:ilvl w:val="1"/>
          <w:numId w:val="2"/>
        </w:numPr>
        <w:snapToGrid w:val="0"/>
      </w:pPr>
      <w:r>
        <w:rPr>
          <w:rFonts w:hint="eastAsia"/>
        </w:rPr>
        <w:t>口风琴：外壳、黑键、白键、吹口、吹管、背部手持带。</w:t>
      </w:r>
    </w:p>
    <w:p w14:paraId="5DDBC623">
      <w:pPr>
        <w:numPr>
          <w:ilvl w:val="1"/>
          <w:numId w:val="2"/>
        </w:numPr>
        <w:snapToGrid w:val="0"/>
      </w:pPr>
      <w:r>
        <w:rPr>
          <w:rFonts w:hint="eastAsia"/>
        </w:rPr>
        <w:t>竖笛：吹口、笛头、笛身、笛尾、按键。</w:t>
      </w:r>
    </w:p>
    <w:p w14:paraId="73274BAA">
      <w:pPr>
        <w:numPr>
          <w:ilvl w:val="0"/>
          <w:numId w:val="2"/>
        </w:numPr>
        <w:snapToGrid w:val="0"/>
      </w:pPr>
      <w:r>
        <w:rPr>
          <w:rFonts w:hint="eastAsia"/>
        </w:rPr>
        <w:t>体鸣乐器</w:t>
      </w:r>
    </w:p>
    <w:p w14:paraId="0504FA89">
      <w:pPr>
        <w:numPr>
          <w:ilvl w:val="1"/>
          <w:numId w:val="2"/>
        </w:numPr>
        <w:snapToGrid w:val="0"/>
      </w:pPr>
      <w:r>
        <w:rPr>
          <w:rFonts w:hint="eastAsia"/>
        </w:rPr>
        <w:t>响铜体鸣乐器：主体、击槌、手提绳（锣）、握带（镲）。</w:t>
      </w:r>
    </w:p>
    <w:p w14:paraId="0893F84C">
      <w:pPr>
        <w:numPr>
          <w:ilvl w:val="1"/>
          <w:numId w:val="2"/>
        </w:numPr>
        <w:snapToGrid w:val="0"/>
      </w:pPr>
      <w:r>
        <w:rPr>
          <w:rFonts w:hint="eastAsia"/>
        </w:rPr>
        <w:t>管钟：敲击槌、金属管、支架。</w:t>
      </w:r>
    </w:p>
    <w:p w14:paraId="7D30ECD0">
      <w:pPr>
        <w:numPr>
          <w:ilvl w:val="1"/>
          <w:numId w:val="2"/>
        </w:numPr>
        <w:snapToGrid w:val="0"/>
      </w:pPr>
      <w:r>
        <w:rPr>
          <w:rFonts w:hint="eastAsia"/>
        </w:rPr>
        <w:t>木琴：琴槌、音条、琴框。</w:t>
      </w:r>
    </w:p>
    <w:p w14:paraId="4C426244">
      <w:pPr>
        <w:numPr>
          <w:ilvl w:val="0"/>
          <w:numId w:val="2"/>
        </w:numPr>
        <w:snapToGrid w:val="0"/>
      </w:pPr>
      <w:r>
        <w:rPr>
          <w:rFonts w:hint="eastAsia"/>
        </w:rPr>
        <w:t>膜鸣乐器</w:t>
      </w:r>
    </w:p>
    <w:p w14:paraId="1B64A40A">
      <w:pPr>
        <w:numPr>
          <w:ilvl w:val="1"/>
          <w:numId w:val="2"/>
        </w:numPr>
        <w:snapToGrid w:val="0"/>
      </w:pPr>
      <w:r>
        <w:rPr>
          <w:rFonts w:hint="eastAsia"/>
        </w:rPr>
        <w:t>爵士鼓：</w:t>
      </w:r>
      <w:r>
        <w:rPr>
          <w:rFonts w:hint="eastAsia" w:ascii="宋体" w:hAnsi="宋体"/>
        </w:rPr>
        <w:t>鼓棒、鼓膜、鼓膜压圈、鼓凳坐垫、支架</w:t>
      </w:r>
      <w:r>
        <w:rPr>
          <w:rFonts w:hint="eastAsia" w:ascii="宋体" w:hAnsi="宋体"/>
          <w:lang w:eastAsia="zh-CN"/>
        </w:rPr>
        <w:t>。</w:t>
      </w:r>
    </w:p>
    <w:p w14:paraId="19258E21">
      <w:pPr>
        <w:numPr>
          <w:ilvl w:val="1"/>
          <w:numId w:val="2"/>
        </w:numPr>
        <w:snapToGrid w:val="0"/>
      </w:pPr>
      <w:r>
        <w:rPr>
          <w:rFonts w:hint="eastAsia"/>
        </w:rPr>
        <w:t>定音鼓：</w:t>
      </w:r>
      <w:r>
        <w:rPr>
          <w:rFonts w:hint="eastAsia" w:ascii="宋体" w:hAnsi="宋体"/>
        </w:rPr>
        <w:t>鼓槌、鼓膜、调音系统、支架、鼓膜压圈</w:t>
      </w:r>
      <w:r>
        <w:rPr>
          <w:rFonts w:hint="eastAsia" w:ascii="宋体" w:hAnsi="宋体"/>
          <w:lang w:eastAsia="zh-CN"/>
        </w:rPr>
        <w:t>。</w:t>
      </w:r>
    </w:p>
    <w:p w14:paraId="35DAA318">
      <w:pPr>
        <w:numPr>
          <w:ilvl w:val="1"/>
          <w:numId w:val="2"/>
        </w:numPr>
        <w:snapToGrid w:val="0"/>
      </w:pPr>
      <w:r>
        <w:rPr>
          <w:rFonts w:hint="eastAsia"/>
        </w:rPr>
        <w:t>行进乐队用鼓：</w:t>
      </w:r>
      <w:r>
        <w:rPr>
          <w:rFonts w:hint="eastAsia" w:ascii="宋体" w:hAnsi="宋体"/>
        </w:rPr>
        <w:t>鼓棒、鼓膜、鼓膜压圈、背带、背架</w:t>
      </w:r>
      <w:r>
        <w:rPr>
          <w:rFonts w:hint="eastAsia" w:ascii="宋体" w:hAnsi="宋体"/>
          <w:lang w:eastAsia="zh-CN"/>
        </w:rPr>
        <w:t>。</w:t>
      </w:r>
    </w:p>
    <w:p w14:paraId="216BA437">
      <w:pPr>
        <w:numPr>
          <w:ilvl w:val="0"/>
          <w:numId w:val="2"/>
        </w:numPr>
        <w:snapToGrid w:val="0"/>
      </w:pPr>
      <w:r>
        <w:rPr>
          <w:rFonts w:hint="eastAsia"/>
        </w:rPr>
        <w:t>电鸣乐器</w:t>
      </w:r>
    </w:p>
    <w:p w14:paraId="511092CF">
      <w:pPr>
        <w:numPr>
          <w:ilvl w:val="1"/>
          <w:numId w:val="2"/>
        </w:numPr>
        <w:snapToGrid w:val="0"/>
      </w:pPr>
      <w:r>
        <w:rPr>
          <w:rFonts w:hint="eastAsia"/>
        </w:rPr>
        <w:t>电吉它：</w:t>
      </w:r>
      <w:r>
        <w:rPr>
          <w:rFonts w:hint="eastAsia" w:ascii="宋体" w:hAnsi="宋体"/>
        </w:rPr>
        <w:t>弦轴、琴体、琴颈、弦、音色变换开关、音色音量调节旋钮、装饰板、震音装置、琴桥、微调螺丝、品位标志</w:t>
      </w:r>
      <w:r>
        <w:rPr>
          <w:rFonts w:hint="eastAsia" w:ascii="宋体" w:hAnsi="宋体"/>
          <w:lang w:eastAsia="zh-CN"/>
        </w:rPr>
        <w:t>、</w:t>
      </w:r>
      <w:r>
        <w:rPr>
          <w:rFonts w:hint="eastAsia" w:ascii="宋体" w:hAnsi="宋体"/>
          <w:lang w:val="en-US" w:eastAsia="zh-CN"/>
        </w:rPr>
        <w:t>品丝、指板、弦枕</w:t>
      </w:r>
      <w:r>
        <w:rPr>
          <w:rFonts w:hint="eastAsia"/>
        </w:rPr>
        <w:t>。</w:t>
      </w:r>
    </w:p>
    <w:p w14:paraId="1D3C92FB">
      <w:pPr>
        <w:numPr>
          <w:ilvl w:val="1"/>
          <w:numId w:val="2"/>
        </w:numPr>
        <w:snapToGrid w:val="0"/>
      </w:pPr>
      <w:r>
        <w:rPr>
          <w:rFonts w:hint="eastAsia"/>
        </w:rPr>
        <w:t>电子钢琴、电子琴、MIDI键盘、合成器、电子管风琴：</w:t>
      </w:r>
      <w:r>
        <w:rPr>
          <w:rFonts w:hint="eastAsia" w:ascii="宋体" w:hAnsi="宋体"/>
        </w:rPr>
        <w:t>白键、黑键、控制键钮、控制面板、颤音/滑音滚轮、外壳、谱架</w:t>
      </w:r>
      <w:r>
        <w:rPr>
          <w:rFonts w:hint="eastAsia"/>
        </w:rPr>
        <w:t>。</w:t>
      </w:r>
    </w:p>
    <w:p w14:paraId="70D66547">
      <w:pPr>
        <w:numPr>
          <w:ilvl w:val="1"/>
          <w:numId w:val="2"/>
        </w:numPr>
        <w:snapToGrid w:val="0"/>
      </w:pPr>
      <w:r>
        <w:rPr>
          <w:rFonts w:hint="eastAsia"/>
        </w:rPr>
        <w:t>电子鼓：鼓棒、鼓、镲、控制键钮、控制面板。</w:t>
      </w:r>
    </w:p>
    <w:p w14:paraId="2F05E011">
      <w:pPr>
        <w:snapToGrid w:val="0"/>
        <w:ind w:left="420"/>
      </w:pPr>
    </w:p>
    <w:p w14:paraId="7D518949">
      <w:pPr>
        <w:snapToGrid w:val="0"/>
      </w:pPr>
      <w:r>
        <mc:AlternateContent>
          <mc:Choice Requires="wps">
            <w:drawing>
              <wp:anchor distT="0" distB="0" distL="114300" distR="114300" simplePos="0" relativeHeight="251659264" behindDoc="0" locked="0" layoutInCell="1" allowOverlap="1">
                <wp:simplePos x="0" y="0"/>
                <wp:positionH relativeFrom="column">
                  <wp:posOffset>2154555</wp:posOffset>
                </wp:positionH>
                <wp:positionV relativeFrom="paragraph">
                  <wp:posOffset>1428115</wp:posOffset>
                </wp:positionV>
                <wp:extent cx="1320800" cy="0"/>
                <wp:effectExtent l="0" t="6350" r="0" b="6350"/>
                <wp:wrapNone/>
                <wp:docPr id="2" name="直接连接符 2"/>
                <wp:cNvGraphicFramePr/>
                <a:graphic xmlns:a="http://schemas.openxmlformats.org/drawingml/2006/main">
                  <a:graphicData uri="http://schemas.microsoft.com/office/word/2010/wordprocessingShape">
                    <wps:wsp>
                      <wps:cNvCnPr/>
                      <wps:spPr>
                        <a:xfrm>
                          <a:off x="2535555" y="6038215"/>
                          <a:ext cx="13208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9.65pt;margin-top:112.45pt;height:0pt;width:104pt;z-index:251659264;mso-width-relative:page;mso-height-relative:page;" filled="f" stroked="t" coordsize="21600,21600" o:gfxdata="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cHLK2QAAAAsBAAAPAAAAAAAAAAEAIAAAACIAAABkcnMvZG93bnJldi54bWxQSwECFAAU&#10;AAAACACHTuJAkfPhjfABAAC+AwAADgAAAAAAAAABACAAAAAoAQAAZHJzL2Uyb0RvYy54bWxQSwUG&#10;AAAAAAYABgBZAQAAigUAAAAA&#10;">
                <v:fill on="f" focussize="0,0"/>
                <v:stroke weight="1pt" color="#000000 [3213]" miterlimit="8" joinstyle="miter"/>
                <v:imagedata o:title=""/>
                <o:lock v:ext="edit" aspectratio="f"/>
              </v:line>
            </w:pict>
          </mc:Fallback>
        </mc:AlternateContent>
      </w:r>
    </w:p>
    <w:sectPr>
      <w:footerReference r:id="rId3" w:type="default"/>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DBF9">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EB656">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93EB656">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D2DE4"/>
    <w:multiLevelType w:val="multilevel"/>
    <w:tmpl w:val="175D2DE4"/>
    <w:lvl w:ilvl="0" w:tentative="0">
      <w:start w:val="1"/>
      <w:numFmt w:val="decimal"/>
      <w:lvlText w:val="%1."/>
      <w:lvlJc w:val="left"/>
      <w:pPr>
        <w:ind w:left="720" w:hanging="360"/>
      </w:pPr>
      <w:rPr>
        <w:rFonts w:hint="default"/>
        <w:b/>
        <w:bCs/>
        <w:sz w:val="24"/>
      </w:rPr>
    </w:lvl>
    <w:lvl w:ilvl="1" w:tentative="0">
      <w:start w:val="1"/>
      <w:numFmt w:val="decimal"/>
      <w:suff w:val="space"/>
      <w:lvlText w:val="%1.%2"/>
      <w:lvlJc w:val="left"/>
      <w:pPr>
        <w:ind w:left="0" w:firstLine="0"/>
      </w:pPr>
      <w:rPr>
        <w:rFonts w:hint="default"/>
        <w:b/>
        <w:bCs/>
        <w:color w:val="auto"/>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7C0DE000"/>
    <w:multiLevelType w:val="multilevel"/>
    <w:tmpl w:val="7C0DE000"/>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7E"/>
    <w:rsid w:val="000F6258"/>
    <w:rsid w:val="0014643A"/>
    <w:rsid w:val="001E37F6"/>
    <w:rsid w:val="0045472A"/>
    <w:rsid w:val="00A12B7E"/>
    <w:rsid w:val="00A65013"/>
    <w:rsid w:val="00AA4418"/>
    <w:rsid w:val="00AF34CD"/>
    <w:rsid w:val="15155C5C"/>
    <w:rsid w:val="2420090E"/>
    <w:rsid w:val="4980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标准文件_章标题"/>
    <w:next w:val="1"/>
    <w:qFormat/>
    <w:uiPriority w:val="0"/>
    <w:p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0">
    <w:name w:val="标准文件_一级条标题"/>
    <w:basedOn w:val="9"/>
    <w:next w:val="1"/>
    <w:qFormat/>
    <w:uiPriority w:val="0"/>
    <w:pPr>
      <w:spacing w:before="50" w:beforeLines="50" w:after="50" w:afterLines="50"/>
      <w:outlineLvl w:val="1"/>
    </w:pPr>
  </w:style>
  <w:style w:type="paragraph" w:customStyle="1" w:styleId="11">
    <w:name w:val="标准文件_一级无标题"/>
    <w:basedOn w:val="10"/>
    <w:qFormat/>
    <w:uiPriority w:val="0"/>
    <w:pPr>
      <w:spacing w:before="0" w:beforeLines="0" w:after="0" w:afterLines="0"/>
      <w:outlineLvl w:val="9"/>
    </w:pPr>
    <w:rPr>
      <w:rFonts w:ascii="宋体" w:eastAsia="宋体"/>
    </w:rPr>
  </w:style>
  <w:style w:type="paragraph" w:styleId="12">
    <w:name w:val="List Paragraph"/>
    <w:basedOn w:val="1"/>
    <w:qFormat/>
    <w:uiPriority w:val="34"/>
    <w:pPr>
      <w:ind w:firstLine="420" w:firstLineChars="200"/>
    </w:pPr>
  </w:style>
  <w:style w:type="paragraph" w:customStyle="1" w:styleId="13">
    <w:name w:val="标准文件_正文表标题"/>
    <w:next w:val="1"/>
    <w:qFormat/>
    <w:uiPriority w:val="0"/>
    <w:pPr>
      <w:tabs>
        <w:tab w:val="left" w:pos="0"/>
      </w:tabs>
      <w:spacing w:before="50" w:beforeLines="50" w:after="50" w:afterLines="50"/>
      <w:jc w:val="center"/>
    </w:pPr>
    <w:rPr>
      <w:rFonts w:ascii="黑体" w:hAnsi="Times New Roman" w:eastAsia="黑体" w:cs="Times New Roman"/>
      <w:kern w:val="0"/>
      <w:sz w:val="21"/>
      <w:szCs w:val="20"/>
      <w:lang w:val="en-US" w:eastAsia="zh-CN" w:bidi="ar-SA"/>
    </w:rPr>
  </w:style>
  <w:style w:type="paragraph" w:customStyle="1" w:styleId="14">
    <w:name w:val="标准文件_注："/>
    <w:next w:val="1"/>
    <w:qFormat/>
    <w:uiPriority w:val="0"/>
    <w:pPr>
      <w:widowControl w:val="0"/>
      <w:autoSpaceDE w:val="0"/>
      <w:autoSpaceDN w:val="0"/>
      <w:jc w:val="both"/>
    </w:pPr>
    <w:rPr>
      <w:rFonts w:ascii="宋体" w:hAnsi="Times New Roman"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2908</Words>
  <Characters>2983</Characters>
  <Lines>23</Lines>
  <Paragraphs>6</Paragraphs>
  <TotalTime>0</TotalTime>
  <ScaleCrop>false</ScaleCrop>
  <LinksUpToDate>false</LinksUpToDate>
  <CharactersWithSpaces>3008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2025-06-23T07:31:00Z</dcterms:created>
  <dc:creator>Windows 用户</dc:creator>
  <cp:lastModifiedBy>韩彦夫</cp:lastModifiedBy>
  <dcterms:modified xsi:type="dcterms:W3CDTF">2025-07-10T07:59:37Z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eyJoZGlkIjoiODM1ZjI0ODFhYTg1ZmEzMTI0MWU1OWYwZTQ2NzM3YTkiLCJ1c2VySWQiOiI0NzY0NTU1NDkifQ==</vt:lpwstr>
  </property>
  <property fmtid="{D5CDD505-2E9C-101B-9397-08002B2CF9AE}" pid="3" name="KSOProductBuildVer">
    <vt:lpwstr>2052-12.1.0.21541</vt:lpwstr>
  </property>
  <property fmtid="{D5CDD505-2E9C-101B-9397-08002B2CF9AE}" pid="4" name="ICV">
    <vt:lpwstr>2CDBC0981E1C453284424A62B27A51FA_12</vt:lpwstr>
  </property>
</Properties>
</file>